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1A943" w14:textId="77777777" w:rsidR="00825A41" w:rsidRDefault="00825A41">
      <w:pPr>
        <w:widowControl w:val="0"/>
        <w:tabs>
          <w:tab w:val="left" w:pos="1134"/>
        </w:tabs>
        <w:spacing w:after="0" w:line="240" w:lineRule="auto"/>
        <w:ind w:left="5387" w:right="60"/>
        <w:jc w:val="right"/>
        <w:rPr>
          <w:rFonts w:ascii="Times New Roman" w:hAnsi="Times New Roman" w:cs="Times New Roman"/>
          <w:sz w:val="28"/>
          <w:szCs w:val="28"/>
        </w:rPr>
      </w:pPr>
    </w:p>
    <w:p w14:paraId="1BE07EF0" w14:textId="77777777" w:rsidR="00825A41" w:rsidRDefault="00825A41">
      <w:pPr>
        <w:widowControl w:val="0"/>
        <w:tabs>
          <w:tab w:val="left" w:pos="1134"/>
        </w:tabs>
        <w:spacing w:after="0" w:line="240" w:lineRule="auto"/>
        <w:ind w:left="5387" w:right="60"/>
        <w:jc w:val="right"/>
        <w:rPr>
          <w:rFonts w:ascii="Times New Roman" w:hAnsi="Times New Roman" w:cs="Times New Roman"/>
          <w:sz w:val="28"/>
          <w:szCs w:val="28"/>
        </w:rPr>
      </w:pPr>
    </w:p>
    <w:p w14:paraId="5580A380" w14:textId="13576C40" w:rsidR="00E84962" w:rsidRPr="003238C0" w:rsidRDefault="00825A41">
      <w:pPr>
        <w:widowControl w:val="0"/>
        <w:tabs>
          <w:tab w:val="left" w:pos="1134"/>
        </w:tabs>
        <w:spacing w:after="0" w:line="240" w:lineRule="auto"/>
        <w:ind w:left="5387" w:right="6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</w:p>
    <w:p w14:paraId="430D4FC0" w14:textId="77777777" w:rsidR="00E84962" w:rsidRPr="003238C0" w:rsidRDefault="00953C67">
      <w:pPr>
        <w:widowControl w:val="0"/>
        <w:tabs>
          <w:tab w:val="left" w:pos="874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8C0">
        <w:rPr>
          <w:noProof/>
          <w:lang w:eastAsia="uk-UA"/>
        </w:rPr>
        <w:drawing>
          <wp:inline distT="0" distB="0" distL="0" distR="0" wp14:anchorId="7634C494" wp14:editId="66ED84A7">
            <wp:extent cx="476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941F4" w14:textId="77777777" w:rsidR="00E84962" w:rsidRPr="003238C0" w:rsidRDefault="00953C67" w:rsidP="00825A41">
      <w:pPr>
        <w:widowControl w:val="0"/>
        <w:spacing w:after="0" w:line="240" w:lineRule="auto"/>
        <w:ind w:left="-283"/>
        <w:jc w:val="center"/>
      </w:pPr>
      <w:r w:rsidRPr="003238C0">
        <w:rPr>
          <w:rFonts w:ascii="Times New Roman" w:hAnsi="Times New Roman" w:cs="Times New Roman"/>
          <w:b/>
          <w:bCs/>
          <w:sz w:val="28"/>
          <w:szCs w:val="28"/>
        </w:rPr>
        <w:t xml:space="preserve">         АНДРУШІВСЬКА МІСЬКА РАДА                                                          </w:t>
      </w:r>
    </w:p>
    <w:p w14:paraId="0E24193E" w14:textId="77777777" w:rsidR="00E84962" w:rsidRPr="003238C0" w:rsidRDefault="00953C67">
      <w:pPr>
        <w:widowControl w:val="0"/>
        <w:spacing w:line="240" w:lineRule="auto"/>
        <w:ind w:left="-283"/>
        <w:jc w:val="center"/>
      </w:pPr>
      <w:r w:rsidRPr="003238C0">
        <w:rPr>
          <w:rFonts w:ascii="Times New Roman" w:hAnsi="Times New Roman" w:cs="Times New Roman"/>
          <w:b/>
          <w:bCs/>
          <w:sz w:val="28"/>
          <w:szCs w:val="28"/>
        </w:rPr>
        <w:t xml:space="preserve">         ЖИТОМИРСЬКОЇ ОБЛАСТІ</w:t>
      </w:r>
    </w:p>
    <w:p w14:paraId="19E90CB5" w14:textId="77777777" w:rsidR="00E84962" w:rsidRPr="003238C0" w:rsidRDefault="00953C67">
      <w:pPr>
        <w:widowControl w:val="0"/>
        <w:spacing w:line="240" w:lineRule="auto"/>
        <w:ind w:left="-283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8C0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14:paraId="1C99438A" w14:textId="77777777" w:rsidR="00E84962" w:rsidRPr="003238C0" w:rsidRDefault="00E84962">
      <w:pPr>
        <w:widowControl w:val="0"/>
        <w:spacing w:line="240" w:lineRule="auto"/>
        <w:ind w:left="-283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C0B90F" w14:textId="47BBF5AD" w:rsidR="00E84962" w:rsidRDefault="00A54D1A" w:rsidP="00825A41">
      <w:pPr>
        <w:widowControl w:val="0"/>
        <w:spacing w:after="0" w:line="240" w:lineRule="auto"/>
        <w:ind w:left="-283" w:firstLine="283"/>
        <w:rPr>
          <w:rFonts w:ascii="Times New Roman" w:hAnsi="Times New Roman" w:cs="Times New Roman"/>
          <w:spacing w:val="-7"/>
          <w:sz w:val="28"/>
          <w:szCs w:val="28"/>
        </w:rPr>
      </w:pPr>
      <w:r w:rsidRPr="003238C0">
        <w:rPr>
          <w:rFonts w:ascii="Times New Roman" w:hAnsi="Times New Roman" w:cs="Times New Roman"/>
          <w:spacing w:val="-8"/>
          <w:sz w:val="28"/>
          <w:szCs w:val="28"/>
        </w:rPr>
        <w:t>Тридцять дев’ята</w:t>
      </w:r>
      <w:r w:rsidR="00953C67" w:rsidRPr="003238C0">
        <w:rPr>
          <w:rFonts w:ascii="Times New Roman" w:hAnsi="Times New Roman" w:cs="Times New Roman"/>
          <w:spacing w:val="-8"/>
          <w:sz w:val="28"/>
          <w:szCs w:val="28"/>
        </w:rPr>
        <w:t xml:space="preserve">  сесія                                                                           </w:t>
      </w:r>
      <w:r w:rsidR="00953C67" w:rsidRPr="003238C0">
        <w:rPr>
          <w:rFonts w:ascii="Times New Roman" w:hAnsi="Times New Roman" w:cs="Times New Roman"/>
          <w:spacing w:val="-7"/>
          <w:sz w:val="28"/>
          <w:szCs w:val="28"/>
        </w:rPr>
        <w:t>Восьмого скликання</w:t>
      </w:r>
    </w:p>
    <w:p w14:paraId="10CCD21B" w14:textId="77777777" w:rsidR="00825A41" w:rsidRPr="003238C0" w:rsidRDefault="00825A41" w:rsidP="00825A41">
      <w:pPr>
        <w:widowControl w:val="0"/>
        <w:spacing w:after="0" w:line="240" w:lineRule="auto"/>
        <w:ind w:left="-283" w:firstLine="283"/>
        <w:rPr>
          <w:rFonts w:ascii="Times New Roman" w:hAnsi="Times New Roman" w:cs="Times New Roman"/>
          <w:spacing w:val="-7"/>
          <w:sz w:val="28"/>
          <w:szCs w:val="28"/>
        </w:rPr>
      </w:pPr>
    </w:p>
    <w:p w14:paraId="02884992" w14:textId="1CA50AA3" w:rsidR="00E84962" w:rsidRDefault="00A54D1A" w:rsidP="00825A41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</w:rPr>
      </w:pPr>
      <w:r w:rsidRPr="003238C0">
        <w:rPr>
          <w:rFonts w:ascii="Times New Roman" w:hAnsi="Times New Roman" w:cs="Times New Roman"/>
          <w:spacing w:val="2"/>
          <w:sz w:val="28"/>
          <w:szCs w:val="28"/>
        </w:rPr>
        <w:t>30</w:t>
      </w:r>
      <w:r w:rsidR="00953C67" w:rsidRPr="003238C0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3238C0">
        <w:rPr>
          <w:rFonts w:ascii="Times New Roman" w:hAnsi="Times New Roman" w:cs="Times New Roman"/>
          <w:spacing w:val="2"/>
          <w:sz w:val="28"/>
          <w:szCs w:val="28"/>
        </w:rPr>
        <w:t>11</w:t>
      </w:r>
      <w:r w:rsidR="00953C67" w:rsidRPr="003238C0">
        <w:rPr>
          <w:rFonts w:ascii="Times New Roman" w:hAnsi="Times New Roman" w:cs="Times New Roman"/>
          <w:spacing w:val="2"/>
          <w:sz w:val="28"/>
          <w:szCs w:val="28"/>
        </w:rPr>
        <w:t>.202</w:t>
      </w:r>
      <w:r w:rsidRPr="003238C0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953C67" w:rsidRPr="003238C0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                                                 №</w:t>
      </w:r>
    </w:p>
    <w:p w14:paraId="0295C4DE" w14:textId="77777777" w:rsidR="00825A41" w:rsidRPr="003238C0" w:rsidRDefault="00825A41" w:rsidP="00825A4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7B26B4" w14:textId="77777777" w:rsidR="00E84962" w:rsidRPr="003238C0" w:rsidRDefault="00953C67">
      <w:pPr>
        <w:pStyle w:val="30"/>
        <w:shd w:val="clear" w:color="auto" w:fill="auto"/>
        <w:spacing w:line="240" w:lineRule="auto"/>
        <w:ind w:right="4000"/>
        <w:jc w:val="left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Про затвердження  Програми</w:t>
      </w:r>
    </w:p>
    <w:p w14:paraId="2C8897DE" w14:textId="77777777" w:rsidR="00E84962" w:rsidRPr="003238C0" w:rsidRDefault="00953C67">
      <w:pPr>
        <w:pStyle w:val="30"/>
        <w:shd w:val="clear" w:color="auto" w:fill="auto"/>
        <w:spacing w:line="240" w:lineRule="auto"/>
        <w:ind w:right="4000"/>
        <w:jc w:val="left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«Питна вода </w:t>
      </w:r>
      <w:proofErr w:type="spellStart"/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Андрушівщини</w:t>
      </w:r>
      <w:proofErr w:type="spellEnd"/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»</w:t>
      </w:r>
    </w:p>
    <w:p w14:paraId="0F36ED47" w14:textId="0AFE19F6" w:rsidR="00E84962" w:rsidRPr="003238C0" w:rsidRDefault="00953C67">
      <w:pPr>
        <w:pStyle w:val="30"/>
        <w:shd w:val="clear" w:color="auto" w:fill="auto"/>
        <w:spacing w:line="240" w:lineRule="auto"/>
        <w:ind w:right="4000"/>
        <w:jc w:val="left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на 202</w:t>
      </w:r>
      <w:r w:rsidR="00A54D1A"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4</w:t>
      </w: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-202</w:t>
      </w:r>
      <w:r w:rsidR="00316E3B">
        <w:rPr>
          <w:rFonts w:ascii="Times New Roman" w:hAnsi="Times New Roman" w:cs="Times New Roman"/>
          <w:color w:val="000000"/>
          <w:sz w:val="28"/>
          <w:szCs w:val="28"/>
          <w:lang w:bidi="uk-UA"/>
        </w:rPr>
        <w:t>6</w:t>
      </w: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роки</w:t>
      </w:r>
    </w:p>
    <w:p w14:paraId="49397729" w14:textId="77777777" w:rsidR="00E84962" w:rsidRPr="003238C0" w:rsidRDefault="00E84962">
      <w:pPr>
        <w:pStyle w:val="30"/>
        <w:shd w:val="clear" w:color="auto" w:fill="auto"/>
        <w:spacing w:line="240" w:lineRule="auto"/>
        <w:ind w:right="-7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</w:pPr>
    </w:p>
    <w:p w14:paraId="3C9D4CD7" w14:textId="3C34ABC2" w:rsidR="00E84962" w:rsidRPr="003238C0" w:rsidRDefault="00953C67" w:rsidP="00CE37FD">
      <w:pPr>
        <w:pStyle w:val="30"/>
        <w:shd w:val="clear" w:color="auto" w:fill="auto"/>
        <w:spacing w:line="240" w:lineRule="auto"/>
        <w:ind w:right="-7" w:firstLine="709"/>
        <w:jc w:val="both"/>
      </w:pPr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 xml:space="preserve">Відповідно до </w:t>
      </w:r>
      <w:r w:rsidR="00825A4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>ст.ст.</w:t>
      </w:r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 xml:space="preserve">26, 59 Закону України </w:t>
      </w:r>
      <w:r w:rsidR="00825A4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>«</w:t>
      </w:r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>Про місцеве самоврядування в Україні</w:t>
      </w:r>
      <w:r w:rsidR="00825A4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>»</w:t>
      </w:r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 xml:space="preserve">, враховуючи лист Андрушівського районного управління головного управління </w:t>
      </w:r>
      <w:proofErr w:type="spellStart"/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>Держпродспоживслужби</w:t>
      </w:r>
      <w:proofErr w:type="spellEnd"/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 xml:space="preserve"> в Житомирській області «Про стан господарсько-питного водопостачання населення»,</w:t>
      </w:r>
      <w:r w:rsidRPr="003238C0">
        <w:rPr>
          <w:rStyle w:val="ListLabel1"/>
        </w:rPr>
        <w:t xml:space="preserve"> рішення виконавчого комітету </w:t>
      </w:r>
      <w:proofErr w:type="spellStart"/>
      <w:r w:rsidRPr="003238C0">
        <w:rPr>
          <w:rStyle w:val="ListLabel1"/>
        </w:rPr>
        <w:t>Андрушівської</w:t>
      </w:r>
      <w:proofErr w:type="spellEnd"/>
      <w:r w:rsidRPr="003238C0">
        <w:rPr>
          <w:rStyle w:val="ListLabel1"/>
        </w:rPr>
        <w:t xml:space="preserve"> міської ради № від </w:t>
      </w:r>
      <w:r w:rsidR="00825A41">
        <w:rPr>
          <w:rStyle w:val="ListLabel1"/>
        </w:rPr>
        <w:t>24</w:t>
      </w:r>
      <w:r w:rsidRPr="003238C0">
        <w:rPr>
          <w:rStyle w:val="ListLabel1"/>
        </w:rPr>
        <w:t>.</w:t>
      </w:r>
      <w:r w:rsidR="00825A41">
        <w:rPr>
          <w:rStyle w:val="ListLabel1"/>
        </w:rPr>
        <w:t>11</w:t>
      </w:r>
      <w:r w:rsidRPr="003238C0">
        <w:rPr>
          <w:rStyle w:val="ListLabel1"/>
        </w:rPr>
        <w:t>.202</w:t>
      </w:r>
      <w:r w:rsidR="00825A41">
        <w:rPr>
          <w:rStyle w:val="ListLabel1"/>
        </w:rPr>
        <w:t>3 р.</w:t>
      </w:r>
      <w:r w:rsidRPr="003238C0">
        <w:rPr>
          <w:rStyle w:val="ListLabel1"/>
        </w:rPr>
        <w:t>, рекомендації постійної комісії міської ради з питань соціально-економічного розвитку, бюджету та фінансів,</w:t>
      </w:r>
      <w:r w:rsidRPr="003238C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uk-UA"/>
        </w:rPr>
        <w:t xml:space="preserve"> міська рада</w:t>
      </w:r>
    </w:p>
    <w:p w14:paraId="7999B1FD" w14:textId="77777777" w:rsidR="00E84962" w:rsidRPr="003238C0" w:rsidRDefault="00E84962">
      <w:pPr>
        <w:pStyle w:val="30"/>
        <w:shd w:val="clear" w:color="auto" w:fill="auto"/>
        <w:spacing w:line="240" w:lineRule="auto"/>
        <w:ind w:right="-7"/>
        <w:jc w:val="both"/>
        <w:rPr>
          <w:rFonts w:ascii="Times New Roman" w:hAnsi="Times New Roman" w:cs="Times New Roman"/>
          <w:color w:val="000000"/>
          <w:sz w:val="28"/>
          <w:szCs w:val="28"/>
          <w:lang w:bidi="uk-UA"/>
        </w:rPr>
      </w:pPr>
    </w:p>
    <w:p w14:paraId="184E279B" w14:textId="41A61C95" w:rsidR="00E84962" w:rsidRPr="003238C0" w:rsidRDefault="00953C67">
      <w:pPr>
        <w:pStyle w:val="40"/>
        <w:shd w:val="clear" w:color="auto" w:fill="auto"/>
        <w:spacing w:after="0" w:line="240" w:lineRule="auto"/>
        <w:jc w:val="both"/>
        <w:rPr>
          <w:b/>
          <w:bCs/>
        </w:rPr>
      </w:pPr>
      <w:r w:rsidRPr="003238C0">
        <w:rPr>
          <w:rFonts w:ascii="Times New Roman" w:hAnsi="Times New Roman" w:cs="Times New Roman"/>
          <w:b/>
          <w:bCs/>
          <w:sz w:val="28"/>
          <w:szCs w:val="28"/>
        </w:rPr>
        <w:t>ВИРІШ</w:t>
      </w:r>
      <w:r w:rsidR="00825A41">
        <w:rPr>
          <w:rFonts w:ascii="Times New Roman" w:hAnsi="Times New Roman" w:cs="Times New Roman"/>
          <w:b/>
          <w:bCs/>
          <w:sz w:val="28"/>
          <w:szCs w:val="28"/>
        </w:rPr>
        <w:t>УЄ</w:t>
      </w:r>
      <w:r w:rsidRPr="003238C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9521FFB" w14:textId="77777777" w:rsidR="00E84962" w:rsidRPr="003238C0" w:rsidRDefault="00E84962">
      <w:pPr>
        <w:pStyle w:val="4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A19C47" w14:textId="362C5C2C" w:rsidR="00E84962" w:rsidRPr="003238C0" w:rsidRDefault="00953C67" w:rsidP="00CE37FD">
      <w:pPr>
        <w:pStyle w:val="30"/>
        <w:shd w:val="clear" w:color="auto" w:fill="auto"/>
        <w:tabs>
          <w:tab w:val="left" w:pos="993"/>
        </w:tabs>
        <w:spacing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 xml:space="preserve">1.Затвердити Програму «Питна вода </w:t>
      </w:r>
      <w:proofErr w:type="spellStart"/>
      <w:r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Андрушівщини</w:t>
      </w:r>
      <w:proofErr w:type="spellEnd"/>
      <w:r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» на 202</w:t>
      </w:r>
      <w:r w:rsidR="00A54D1A"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4</w:t>
      </w:r>
      <w:r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-202</w:t>
      </w:r>
      <w:r w:rsidR="00316E3B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>6</w:t>
      </w:r>
      <w:r w:rsidRPr="003238C0">
        <w:rPr>
          <w:rFonts w:ascii="Times New Roman" w:hAnsi="Times New Roman" w:cs="Times New Roman"/>
          <w:b w:val="0"/>
          <w:color w:val="000000"/>
          <w:sz w:val="28"/>
          <w:szCs w:val="28"/>
          <w:lang w:bidi="uk-UA"/>
        </w:rPr>
        <w:t xml:space="preserve"> роки (додається).</w:t>
      </w:r>
    </w:p>
    <w:p w14:paraId="3E6DD2FE" w14:textId="21F332BE" w:rsidR="00E84962" w:rsidRPr="003238C0" w:rsidRDefault="00953C67" w:rsidP="00CE37FD">
      <w:pPr>
        <w:spacing w:after="0" w:line="240" w:lineRule="auto"/>
        <w:ind w:firstLine="709"/>
        <w:jc w:val="both"/>
      </w:pPr>
      <w:r w:rsidRPr="003238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238C0">
        <w:rPr>
          <w:rFonts w:ascii="Times New Roman" w:hAnsi="Times New Roman" w:cs="Times New Roman"/>
          <w:sz w:val="28"/>
          <w:szCs w:val="28"/>
        </w:rPr>
        <w:t xml:space="preserve">. </w:t>
      </w: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>Контроль за виконанням рішення покласти на постійну комісію</w:t>
      </w:r>
      <w:r w:rsidR="00CE37FD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</w:t>
      </w:r>
      <w:r w:rsidRPr="003238C0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міської ради з </w:t>
      </w:r>
      <w:r w:rsidRPr="003238C0">
        <w:rPr>
          <w:rStyle w:val="ListLabel1"/>
          <w:b w:val="0"/>
        </w:rPr>
        <w:t>питань соціально-економічного розвитку, бюджету та фінансів          (</w:t>
      </w:r>
      <w:r w:rsidR="00CE37FD">
        <w:rPr>
          <w:rStyle w:val="ListLabel1"/>
          <w:b w:val="0"/>
        </w:rPr>
        <w:t>Дмитро ТКАЧЕНКО</w:t>
      </w:r>
      <w:r w:rsidRPr="003238C0">
        <w:rPr>
          <w:rStyle w:val="ListLabel1"/>
          <w:b w:val="0"/>
        </w:rPr>
        <w:t>) та заступника міського голови з питань діяльності виконавчих органів</w:t>
      </w:r>
      <w:r w:rsidR="00CE37FD">
        <w:rPr>
          <w:rStyle w:val="ListLabel1"/>
          <w:b w:val="0"/>
        </w:rPr>
        <w:t xml:space="preserve"> ради</w:t>
      </w:r>
      <w:r w:rsidRPr="003238C0">
        <w:rPr>
          <w:rStyle w:val="ListLabel1"/>
          <w:b w:val="0"/>
        </w:rPr>
        <w:t xml:space="preserve"> </w:t>
      </w:r>
      <w:r w:rsidR="00CE37FD">
        <w:rPr>
          <w:rStyle w:val="ListLabel1"/>
          <w:b w:val="0"/>
        </w:rPr>
        <w:t>Володимира ГОРКУНА</w:t>
      </w:r>
      <w:r w:rsidRPr="003238C0">
        <w:rPr>
          <w:rStyle w:val="ListLabel1"/>
          <w:b w:val="0"/>
        </w:rPr>
        <w:t>.</w:t>
      </w:r>
    </w:p>
    <w:p w14:paraId="42CAA4BD" w14:textId="77777777" w:rsidR="00825A41" w:rsidRDefault="00825A41" w:rsidP="00825A41">
      <w:pPr>
        <w:pStyle w:val="20"/>
        <w:shd w:val="clear" w:color="auto" w:fill="auto"/>
        <w:tabs>
          <w:tab w:val="left" w:pos="343"/>
        </w:tabs>
        <w:spacing w:before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D2FD2B3" w14:textId="1CA360F0" w:rsidR="00E84962" w:rsidRPr="00825A41" w:rsidRDefault="00953C67">
      <w:pPr>
        <w:pStyle w:val="20"/>
        <w:shd w:val="clear" w:color="auto" w:fill="auto"/>
        <w:tabs>
          <w:tab w:val="left" w:pos="343"/>
        </w:tabs>
        <w:spacing w:before="0" w:after="160" w:line="240" w:lineRule="auto"/>
        <w:jc w:val="both"/>
        <w:rPr>
          <w:rFonts w:ascii="Times New Roman" w:hAnsi="Times New Roman"/>
          <w:sz w:val="28"/>
          <w:szCs w:val="28"/>
        </w:rPr>
      </w:pPr>
      <w:r w:rsidRPr="00825A41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         Галина БІЛЕЦЬКА</w:t>
      </w:r>
    </w:p>
    <w:p w14:paraId="2EB31583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4D1F6E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54BB7475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366FA0DE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737B41DB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5A9A6D43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715E832C" w14:textId="77777777" w:rsidR="00E84962" w:rsidRPr="003238C0" w:rsidRDefault="00E84962">
      <w:pPr>
        <w:pStyle w:val="20"/>
        <w:shd w:val="clear" w:color="auto" w:fill="auto"/>
        <w:tabs>
          <w:tab w:val="left" w:pos="343"/>
        </w:tabs>
        <w:spacing w:before="0" w:after="160"/>
        <w:jc w:val="both"/>
        <w:rPr>
          <w:rFonts w:ascii="Times New Roman" w:hAnsi="Times New Roman" w:cs="Times New Roman"/>
          <w:sz w:val="28"/>
          <w:szCs w:val="28"/>
        </w:rPr>
      </w:pPr>
    </w:p>
    <w:p w14:paraId="51DB1509" w14:textId="77777777" w:rsidR="00E84962" w:rsidRPr="003238C0" w:rsidRDefault="00E84962">
      <w:pPr>
        <w:widowControl w:val="0"/>
        <w:tabs>
          <w:tab w:val="left" w:pos="1134"/>
        </w:tabs>
        <w:spacing w:after="0" w:line="240" w:lineRule="auto"/>
        <w:ind w:right="60"/>
        <w:jc w:val="right"/>
        <w:rPr>
          <w:rFonts w:ascii="Times New Roman" w:eastAsia="Calibri" w:hAnsi="Times New Roman"/>
          <w:sz w:val="28"/>
          <w:szCs w:val="28"/>
        </w:rPr>
      </w:pPr>
    </w:p>
    <w:p w14:paraId="56C0A248" w14:textId="77777777" w:rsidR="00825A41" w:rsidRDefault="00825A41" w:rsidP="00CE3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C2E364" w14:textId="0E726CB2" w:rsidR="00E84962" w:rsidRPr="003238C0" w:rsidRDefault="00953C67" w:rsidP="00CE37F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238C0">
        <w:rPr>
          <w:rFonts w:ascii="Times New Roman" w:hAnsi="Times New Roman"/>
          <w:sz w:val="28"/>
          <w:szCs w:val="28"/>
        </w:rPr>
        <w:t xml:space="preserve">СХВАЛЕНО                                                 </w:t>
      </w:r>
      <w:r w:rsidR="00825A41">
        <w:rPr>
          <w:rFonts w:ascii="Times New Roman" w:hAnsi="Times New Roman"/>
          <w:sz w:val="28"/>
          <w:szCs w:val="28"/>
        </w:rPr>
        <w:t xml:space="preserve">    </w:t>
      </w:r>
      <w:r w:rsidRPr="003238C0">
        <w:rPr>
          <w:rFonts w:ascii="Times New Roman" w:hAnsi="Times New Roman"/>
          <w:sz w:val="28"/>
          <w:szCs w:val="28"/>
        </w:rPr>
        <w:t xml:space="preserve"> ЗАТВЕРДЖЕНО</w:t>
      </w:r>
    </w:p>
    <w:p w14:paraId="38665CD5" w14:textId="306A716B" w:rsidR="00E84962" w:rsidRPr="00825A41" w:rsidRDefault="00953C67" w:rsidP="00825A41">
      <w:pPr>
        <w:spacing w:after="0" w:line="240" w:lineRule="auto"/>
        <w:rPr>
          <w:rFonts w:ascii="Times New Roman" w:hAnsi="Times New Roman"/>
        </w:rPr>
      </w:pPr>
      <w:r w:rsidRPr="003238C0">
        <w:rPr>
          <w:rFonts w:ascii="Times New Roman" w:hAnsi="Times New Roman"/>
          <w:sz w:val="28"/>
          <w:szCs w:val="28"/>
        </w:rPr>
        <w:t xml:space="preserve">Рішення виконкому                                  </w:t>
      </w:r>
      <w:r w:rsidR="00825A41">
        <w:rPr>
          <w:rFonts w:ascii="Times New Roman" w:hAnsi="Times New Roman"/>
          <w:sz w:val="28"/>
          <w:szCs w:val="28"/>
        </w:rPr>
        <w:t xml:space="preserve">      </w:t>
      </w:r>
      <w:r w:rsidRPr="003238C0">
        <w:rPr>
          <w:rFonts w:ascii="Times New Roman" w:hAnsi="Times New Roman"/>
          <w:sz w:val="28"/>
          <w:szCs w:val="28"/>
        </w:rPr>
        <w:t xml:space="preserve">  </w:t>
      </w:r>
      <w:r w:rsidRPr="003238C0">
        <w:rPr>
          <w:rFonts w:ascii="Times New Roman" w:eastAsia="Calibri" w:hAnsi="Times New Roman"/>
          <w:sz w:val="28"/>
          <w:szCs w:val="28"/>
        </w:rPr>
        <w:t xml:space="preserve">Рішення </w:t>
      </w:r>
      <w:r w:rsidR="00825A41">
        <w:rPr>
          <w:rFonts w:ascii="Times New Roman" w:eastAsia="Calibri" w:hAnsi="Times New Roman"/>
          <w:sz w:val="28"/>
          <w:szCs w:val="28"/>
        </w:rPr>
        <w:t>тридцять дев</w:t>
      </w:r>
      <w:r w:rsidR="00825A41" w:rsidRPr="00825A41">
        <w:rPr>
          <w:rFonts w:ascii="Times New Roman" w:eastAsia="Calibri" w:hAnsi="Times New Roman"/>
          <w:sz w:val="28"/>
          <w:szCs w:val="28"/>
        </w:rPr>
        <w:t>’</w:t>
      </w:r>
      <w:r w:rsidR="00825A41">
        <w:rPr>
          <w:rFonts w:ascii="Times New Roman" w:eastAsia="Calibri" w:hAnsi="Times New Roman"/>
          <w:sz w:val="28"/>
          <w:szCs w:val="28"/>
        </w:rPr>
        <w:t xml:space="preserve">ятої сесії </w:t>
      </w:r>
      <w:proofErr w:type="spellStart"/>
      <w:r w:rsidR="00CE37FD" w:rsidRPr="003238C0">
        <w:rPr>
          <w:rFonts w:ascii="Times New Roman" w:eastAsia="Calibri" w:hAnsi="Times New Roman"/>
          <w:sz w:val="28"/>
          <w:szCs w:val="28"/>
        </w:rPr>
        <w:t>Андрушівської</w:t>
      </w:r>
      <w:proofErr w:type="spellEnd"/>
      <w:r w:rsidR="00CE37FD" w:rsidRPr="003238C0">
        <w:rPr>
          <w:rFonts w:ascii="Times New Roman" w:eastAsia="Calibri" w:hAnsi="Times New Roman"/>
          <w:sz w:val="28"/>
          <w:szCs w:val="28"/>
        </w:rPr>
        <w:t xml:space="preserve"> міської ради</w:t>
      </w:r>
      <w:r w:rsidRPr="003238C0">
        <w:rPr>
          <w:rFonts w:ascii="Times New Roman" w:eastAsia="Calibri" w:hAnsi="Times New Roman"/>
          <w:sz w:val="28"/>
          <w:szCs w:val="28"/>
        </w:rPr>
        <w:t xml:space="preserve"> </w:t>
      </w:r>
      <w:r w:rsidR="00825A41">
        <w:rPr>
          <w:rFonts w:ascii="Times New Roman" w:eastAsia="Calibri" w:hAnsi="Times New Roman"/>
          <w:sz w:val="28"/>
          <w:szCs w:val="28"/>
        </w:rPr>
        <w:t xml:space="preserve">                           </w:t>
      </w:r>
      <w:proofErr w:type="spellStart"/>
      <w:r w:rsidRPr="003238C0">
        <w:rPr>
          <w:rFonts w:ascii="Times New Roman" w:hAnsi="Times New Roman"/>
          <w:sz w:val="28"/>
          <w:szCs w:val="28"/>
        </w:rPr>
        <w:t>Андрушівської</w:t>
      </w:r>
      <w:proofErr w:type="spellEnd"/>
      <w:r w:rsidRPr="003238C0">
        <w:rPr>
          <w:rFonts w:ascii="Times New Roman" w:hAnsi="Times New Roman"/>
          <w:sz w:val="28"/>
          <w:szCs w:val="28"/>
        </w:rPr>
        <w:t xml:space="preserve"> міської ради</w:t>
      </w:r>
      <w:r w:rsidRPr="003238C0">
        <w:rPr>
          <w:rFonts w:ascii="Times New Roman" w:eastAsia="Calibri" w:hAnsi="Times New Roman"/>
          <w:sz w:val="28"/>
          <w:szCs w:val="28"/>
        </w:rPr>
        <w:t xml:space="preserve">                      </w:t>
      </w:r>
      <w:r w:rsidR="00825A41">
        <w:rPr>
          <w:rFonts w:ascii="Times New Roman" w:eastAsia="Calibri" w:hAnsi="Times New Roman"/>
          <w:sz w:val="28"/>
          <w:szCs w:val="28"/>
        </w:rPr>
        <w:t xml:space="preserve">      від 24.11.2023</w:t>
      </w:r>
      <w:r w:rsidR="00825A41" w:rsidRPr="003238C0">
        <w:rPr>
          <w:rFonts w:ascii="Times New Roman" w:hAnsi="Times New Roman"/>
          <w:sz w:val="28"/>
          <w:szCs w:val="28"/>
        </w:rPr>
        <w:t xml:space="preserve">  №</w:t>
      </w:r>
      <w:r w:rsidR="00825A41">
        <w:rPr>
          <w:rFonts w:ascii="Times New Roman" w:hAnsi="Times New Roman"/>
          <w:sz w:val="28"/>
          <w:szCs w:val="28"/>
        </w:rPr>
        <w:t xml:space="preserve">                                              восьмого</w:t>
      </w:r>
      <w:r w:rsidR="00CE37FD">
        <w:rPr>
          <w:rFonts w:ascii="Times New Roman" w:eastAsia="Calibri" w:hAnsi="Times New Roman"/>
          <w:sz w:val="28"/>
          <w:szCs w:val="28"/>
        </w:rPr>
        <w:t xml:space="preserve"> скликання</w:t>
      </w:r>
      <w:r w:rsidRPr="003238C0">
        <w:rPr>
          <w:rFonts w:ascii="Times New Roman" w:eastAsia="Calibri" w:hAnsi="Times New Roman"/>
          <w:sz w:val="28"/>
          <w:szCs w:val="28"/>
        </w:rPr>
        <w:t xml:space="preserve"> </w:t>
      </w:r>
      <w:r w:rsidR="00825A41">
        <w:rPr>
          <w:rFonts w:ascii="Times New Roman" w:hAnsi="Times New Roman"/>
        </w:rPr>
        <w:t xml:space="preserve">                                    </w:t>
      </w:r>
      <w:r w:rsidRPr="003238C0">
        <w:rPr>
          <w:rFonts w:ascii="Times New Roman" w:hAnsi="Times New Roman"/>
          <w:b/>
          <w:color w:val="000000"/>
          <w:sz w:val="28"/>
          <w:szCs w:val="28"/>
        </w:rPr>
        <w:t>                                                                    </w:t>
      </w:r>
      <w:r w:rsidR="00825A41"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 w:rsidR="00825A41" w:rsidRPr="00825A41">
        <w:rPr>
          <w:rFonts w:ascii="Times New Roman" w:hAnsi="Times New Roman"/>
          <w:color w:val="000000"/>
          <w:sz w:val="28"/>
          <w:szCs w:val="28"/>
        </w:rPr>
        <w:t>від 30.11.2023   №</w:t>
      </w:r>
    </w:p>
    <w:p w14:paraId="4A0433D7" w14:textId="77777777" w:rsidR="00E84962" w:rsidRPr="003238C0" w:rsidRDefault="00E84962">
      <w:pPr>
        <w:widowControl w:val="0"/>
        <w:tabs>
          <w:tab w:val="left" w:pos="1134"/>
        </w:tabs>
        <w:spacing w:after="0" w:line="240" w:lineRule="auto"/>
        <w:ind w:left="5387" w:right="60"/>
        <w:jc w:val="right"/>
        <w:rPr>
          <w:rFonts w:eastAsiaTheme="minorEastAsia"/>
          <w:b/>
          <w:color w:val="000000"/>
          <w:sz w:val="28"/>
          <w:szCs w:val="28"/>
          <w:lang w:eastAsia="ru-RU"/>
        </w:rPr>
      </w:pPr>
    </w:p>
    <w:p w14:paraId="1E459E7E" w14:textId="77777777" w:rsidR="00E84962" w:rsidRPr="003238C0" w:rsidRDefault="00E8496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E0403" w14:textId="77777777" w:rsidR="00E84962" w:rsidRPr="003238C0" w:rsidRDefault="00E84962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14:paraId="334CE8CB" w14:textId="77777777" w:rsidR="00E84962" w:rsidRPr="003238C0" w:rsidRDefault="00E84962">
      <w:pPr>
        <w:jc w:val="both"/>
        <w:rPr>
          <w:rFonts w:ascii="Times New Roman" w:hAnsi="Times New Roman"/>
          <w:sz w:val="36"/>
          <w:szCs w:val="36"/>
        </w:rPr>
      </w:pPr>
    </w:p>
    <w:p w14:paraId="288B7768" w14:textId="77777777" w:rsidR="00E84962" w:rsidRPr="003238C0" w:rsidRDefault="00E84962">
      <w:pPr>
        <w:jc w:val="both"/>
        <w:rPr>
          <w:rFonts w:ascii="Times New Roman" w:hAnsi="Times New Roman"/>
          <w:sz w:val="36"/>
          <w:szCs w:val="36"/>
        </w:rPr>
      </w:pPr>
    </w:p>
    <w:p w14:paraId="0970AB73" w14:textId="77777777" w:rsidR="00E84962" w:rsidRPr="003238C0" w:rsidRDefault="00E84962">
      <w:pPr>
        <w:rPr>
          <w:rFonts w:ascii="Times New Roman" w:hAnsi="Times New Roman"/>
          <w:sz w:val="36"/>
          <w:szCs w:val="36"/>
        </w:rPr>
      </w:pPr>
    </w:p>
    <w:p w14:paraId="426E0603" w14:textId="77777777" w:rsidR="00E84962" w:rsidRPr="00CE37FD" w:rsidRDefault="00E84962">
      <w:pPr>
        <w:rPr>
          <w:rFonts w:ascii="Times New Roman" w:hAnsi="Times New Roman"/>
          <w:b/>
          <w:bCs/>
          <w:sz w:val="36"/>
          <w:szCs w:val="36"/>
        </w:rPr>
      </w:pPr>
    </w:p>
    <w:p w14:paraId="11E97384" w14:textId="77777777" w:rsidR="00E84962" w:rsidRPr="00CE37FD" w:rsidRDefault="00953C67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CE37FD">
        <w:rPr>
          <w:rFonts w:ascii="Times New Roman" w:hAnsi="Times New Roman" w:cs="Times New Roman"/>
          <w:b/>
          <w:bCs/>
          <w:sz w:val="36"/>
          <w:szCs w:val="36"/>
        </w:rPr>
        <w:t>Програма</w:t>
      </w:r>
    </w:p>
    <w:p w14:paraId="44013AF0" w14:textId="77777777" w:rsidR="00E84962" w:rsidRPr="00CE37FD" w:rsidRDefault="00953C67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CE37FD">
        <w:rPr>
          <w:rFonts w:ascii="Times New Roman" w:hAnsi="Times New Roman" w:cs="Times New Roman"/>
          <w:b/>
          <w:bCs/>
          <w:sz w:val="36"/>
          <w:szCs w:val="36"/>
        </w:rPr>
        <w:t xml:space="preserve">«Питна вода </w:t>
      </w:r>
      <w:proofErr w:type="spellStart"/>
      <w:r w:rsidRPr="00CE37FD">
        <w:rPr>
          <w:rFonts w:ascii="Times New Roman" w:hAnsi="Times New Roman" w:cs="Times New Roman"/>
          <w:b/>
          <w:bCs/>
          <w:sz w:val="36"/>
          <w:szCs w:val="36"/>
        </w:rPr>
        <w:t>Андрушівщини</w:t>
      </w:r>
      <w:proofErr w:type="spellEnd"/>
      <w:r w:rsidRPr="00CE37FD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7E3ED490" w14:textId="3D89BE71" w:rsidR="00E84962" w:rsidRPr="00CE37FD" w:rsidRDefault="00953C67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CE37FD">
        <w:rPr>
          <w:rFonts w:ascii="Times New Roman" w:hAnsi="Times New Roman" w:cs="Times New Roman"/>
          <w:b/>
          <w:bCs/>
          <w:sz w:val="36"/>
          <w:szCs w:val="36"/>
        </w:rPr>
        <w:t>на 202</w:t>
      </w:r>
      <w:r w:rsidR="003238C0" w:rsidRPr="00CE37FD">
        <w:rPr>
          <w:rFonts w:ascii="Times New Roman" w:hAnsi="Times New Roman" w:cs="Times New Roman"/>
          <w:b/>
          <w:bCs/>
          <w:sz w:val="36"/>
          <w:szCs w:val="36"/>
        </w:rPr>
        <w:t>4</w:t>
      </w:r>
      <w:r w:rsidRPr="00CE37FD">
        <w:rPr>
          <w:rFonts w:ascii="Times New Roman" w:hAnsi="Times New Roman" w:cs="Times New Roman"/>
          <w:b/>
          <w:bCs/>
          <w:sz w:val="36"/>
          <w:szCs w:val="36"/>
        </w:rPr>
        <w:t>-202</w:t>
      </w:r>
      <w:r w:rsidR="00316E3B">
        <w:rPr>
          <w:rFonts w:ascii="Times New Roman" w:hAnsi="Times New Roman" w:cs="Times New Roman"/>
          <w:b/>
          <w:bCs/>
          <w:sz w:val="36"/>
          <w:szCs w:val="36"/>
        </w:rPr>
        <w:t>6</w:t>
      </w:r>
      <w:r w:rsidRPr="00CE37FD">
        <w:rPr>
          <w:rFonts w:ascii="Times New Roman" w:hAnsi="Times New Roman" w:cs="Times New Roman"/>
          <w:b/>
          <w:bCs/>
          <w:sz w:val="36"/>
          <w:szCs w:val="36"/>
        </w:rPr>
        <w:t xml:space="preserve"> роки</w:t>
      </w:r>
    </w:p>
    <w:p w14:paraId="4B6D8E2D" w14:textId="77777777" w:rsidR="00E84962" w:rsidRPr="003238C0" w:rsidRDefault="00E84962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44F4238C" w14:textId="77777777" w:rsidR="00E84962" w:rsidRPr="003238C0" w:rsidRDefault="00E84962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5048B79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678415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4325BE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B0BDDA3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429A8B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32FA8A7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65E6B5" w14:textId="77777777" w:rsidR="00E84962" w:rsidRPr="003238C0" w:rsidRDefault="00E849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7EA6C8" w14:textId="77777777" w:rsidR="00CE37FD" w:rsidRDefault="00CE37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D005B5" w14:textId="77777777" w:rsidR="00CE37FD" w:rsidRDefault="00CE37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E427B8" w14:textId="34D1199A" w:rsidR="00E84962" w:rsidRPr="003238C0" w:rsidRDefault="00953C67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м.</w:t>
      </w:r>
      <w:r w:rsidR="003238C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Андрушівка</w:t>
      </w:r>
    </w:p>
    <w:p w14:paraId="2FD49104" w14:textId="5B338786" w:rsidR="00E84962" w:rsidRPr="003238C0" w:rsidRDefault="009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202</w:t>
      </w:r>
      <w:r w:rsidR="003238C0" w:rsidRPr="003238C0">
        <w:rPr>
          <w:rFonts w:ascii="Times New Roman" w:hAnsi="Times New Roman" w:cs="Times New Roman"/>
          <w:sz w:val="28"/>
          <w:szCs w:val="28"/>
        </w:rPr>
        <w:t>3</w:t>
      </w:r>
      <w:r w:rsidRPr="003238C0">
        <w:rPr>
          <w:rFonts w:ascii="Times New Roman" w:hAnsi="Times New Roman" w:cs="Times New Roman"/>
          <w:sz w:val="28"/>
          <w:szCs w:val="28"/>
        </w:rPr>
        <w:t>рік</w:t>
      </w:r>
      <w:r w:rsidRPr="003238C0">
        <w:br w:type="page"/>
      </w:r>
    </w:p>
    <w:p w14:paraId="08CC11C2" w14:textId="77777777" w:rsidR="00E84962" w:rsidRPr="003238C0" w:rsidRDefault="009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14:paraId="17D20803" w14:textId="22F61009" w:rsidR="00E84962" w:rsidRPr="003238C0" w:rsidRDefault="00825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53C67" w:rsidRPr="003238C0">
        <w:rPr>
          <w:rFonts w:ascii="Times New Roman" w:hAnsi="Times New Roman" w:cs="Times New Roman"/>
          <w:b/>
          <w:sz w:val="28"/>
          <w:szCs w:val="28"/>
        </w:rPr>
        <w:t>рограми «Питна вода</w:t>
      </w:r>
      <w:r w:rsidR="003238C0" w:rsidRPr="003238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53C67" w:rsidRPr="003238C0">
        <w:rPr>
          <w:rFonts w:ascii="Times New Roman" w:hAnsi="Times New Roman" w:cs="Times New Roman"/>
          <w:b/>
          <w:sz w:val="28"/>
          <w:szCs w:val="28"/>
        </w:rPr>
        <w:t>Андрушівщини</w:t>
      </w:r>
      <w:proofErr w:type="spellEnd"/>
      <w:r w:rsidR="00953C67" w:rsidRPr="003238C0">
        <w:rPr>
          <w:rFonts w:ascii="Times New Roman" w:hAnsi="Times New Roman" w:cs="Times New Roman"/>
          <w:b/>
          <w:sz w:val="28"/>
          <w:szCs w:val="28"/>
        </w:rPr>
        <w:t>»</w:t>
      </w:r>
    </w:p>
    <w:p w14:paraId="6F8A07F8" w14:textId="24117E88" w:rsidR="00E84962" w:rsidRPr="003238C0" w:rsidRDefault="00953C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на 202</w:t>
      </w:r>
      <w:r w:rsidR="003238C0" w:rsidRPr="003238C0">
        <w:rPr>
          <w:rFonts w:ascii="Times New Roman" w:hAnsi="Times New Roman" w:cs="Times New Roman"/>
          <w:b/>
          <w:sz w:val="28"/>
          <w:szCs w:val="28"/>
        </w:rPr>
        <w:t>4</w:t>
      </w:r>
      <w:r w:rsidRPr="003238C0">
        <w:rPr>
          <w:rFonts w:ascii="Times New Roman" w:hAnsi="Times New Roman" w:cs="Times New Roman"/>
          <w:b/>
          <w:sz w:val="28"/>
          <w:szCs w:val="28"/>
        </w:rPr>
        <w:t>-202</w:t>
      </w:r>
      <w:r w:rsidR="00316E3B">
        <w:rPr>
          <w:rFonts w:ascii="Times New Roman" w:hAnsi="Times New Roman" w:cs="Times New Roman"/>
          <w:b/>
          <w:sz w:val="28"/>
          <w:szCs w:val="28"/>
        </w:rPr>
        <w:t>6</w:t>
      </w:r>
      <w:r w:rsidRPr="003238C0">
        <w:rPr>
          <w:rFonts w:ascii="Times New Roman" w:hAnsi="Times New Roman" w:cs="Times New Roman"/>
          <w:b/>
          <w:sz w:val="28"/>
          <w:szCs w:val="28"/>
        </w:rPr>
        <w:t xml:space="preserve"> роки»</w:t>
      </w:r>
    </w:p>
    <w:tbl>
      <w:tblPr>
        <w:tblStyle w:val="ac"/>
        <w:tblW w:w="10008" w:type="dxa"/>
        <w:tblCellMar>
          <w:left w:w="88" w:type="dxa"/>
        </w:tblCellMar>
        <w:tblLook w:val="01E0" w:firstRow="1" w:lastRow="1" w:firstColumn="1" w:lastColumn="1" w:noHBand="0" w:noVBand="0"/>
      </w:tblPr>
      <w:tblGrid>
        <w:gridCol w:w="636"/>
        <w:gridCol w:w="3972"/>
        <w:gridCol w:w="5400"/>
      </w:tblGrid>
      <w:tr w:rsidR="00CE37FD" w:rsidRPr="003238C0" w14:paraId="03C95564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1D60ADBB" w14:textId="77777777" w:rsidR="00CE37FD" w:rsidRPr="003238C0" w:rsidRDefault="00CE37FD" w:rsidP="00CE37FD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20F5A37F" w14:textId="77777777" w:rsidR="00CE37FD" w:rsidRPr="003238C0" w:rsidRDefault="00CE37FD" w:rsidP="00CE37FD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0A8DFA55" w14:textId="5E30A0CD" w:rsidR="00CE37FD" w:rsidRPr="003238C0" w:rsidRDefault="00CE37FD" w:rsidP="00BB3A1A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B3A1A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земельних відносин та екології</w:t>
            </w:r>
            <w:r w:rsidR="00BB3A1A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B3A1A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Андрушівської</w:t>
            </w:r>
            <w:proofErr w:type="spellEnd"/>
            <w:r w:rsidR="00BB3A1A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ради</w:t>
            </w:r>
            <w:r w:rsidR="00BB3A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її виконавчого комітету</w:t>
            </w:r>
          </w:p>
        </w:tc>
      </w:tr>
      <w:tr w:rsidR="00E84962" w:rsidRPr="003238C0" w14:paraId="5EBB13FA" w14:textId="77777777">
        <w:trPr>
          <w:trHeight w:val="371"/>
        </w:trPr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7EFA4656" w14:textId="5DBD65D5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6269484D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4C291297" w14:textId="5F2C6969" w:rsidR="00E84962" w:rsidRPr="003238C0" w:rsidRDefault="00BB3A1A" w:rsidP="0082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земельних відносин та екології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Андрушівської</w:t>
            </w:r>
            <w:proofErr w:type="spellEnd"/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її виконавчого комітету</w:t>
            </w:r>
          </w:p>
        </w:tc>
      </w:tr>
      <w:tr w:rsidR="00E84962" w:rsidRPr="003238C0" w14:paraId="1D52614C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49FA57F4" w14:textId="683AEFBF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240D0854" w14:textId="0FC54D4E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Співрозробники</w:t>
            </w:r>
            <w:proofErr w:type="spellEnd"/>
            <w:r w:rsidR="00922A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23054C71" w14:textId="7098675C" w:rsidR="00E84962" w:rsidRPr="003238C0" w:rsidRDefault="00953C67" w:rsidP="00825A41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економічного розвитку та інвестицій, </w:t>
            </w:r>
            <w:r w:rsidR="00A274DF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комунальної власності, містобудування та архітектури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установи </w:t>
            </w:r>
            <w:r w:rsidR="00825A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організації </w:t>
            </w:r>
            <w:r w:rsidR="00CE37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громади</w:t>
            </w:r>
          </w:p>
        </w:tc>
      </w:tr>
      <w:tr w:rsidR="00E84962" w:rsidRPr="003238C0" w14:paraId="56CCAA77" w14:textId="77777777" w:rsidTr="00825A41">
        <w:trPr>
          <w:trHeight w:val="1913"/>
        </w:trPr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7C6B56B4" w14:textId="4D61A162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3CEA3D23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Відповідальні виконавці Програми 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678AE6FF" w14:textId="68253169" w:rsidR="00E84962" w:rsidRPr="003238C0" w:rsidRDefault="00953C67" w:rsidP="0082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комунальної власності, містобудування та архітектури,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 економічного розвитку та інвестицій, відділ земельних відносин та екології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Андрушівської міської ради</w:t>
            </w:r>
            <w:r w:rsidR="00CE37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0A5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КП </w:t>
            </w:r>
            <w:r w:rsidR="000A57E1" w:rsidRPr="003238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0A57E1" w:rsidRPr="003238C0">
              <w:rPr>
                <w:rFonts w:ascii="Times New Roman" w:hAnsi="Times New Roman" w:cs="Times New Roman"/>
                <w:sz w:val="28"/>
                <w:szCs w:val="28"/>
              </w:rPr>
              <w:t>Комсервіс</w:t>
            </w:r>
            <w:proofErr w:type="spellEnd"/>
            <w:r w:rsidR="000A57E1" w:rsidRPr="003238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A57E1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A57E1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Андрушівської</w:t>
            </w:r>
            <w:proofErr w:type="spellEnd"/>
            <w:r w:rsidR="000A57E1" w:rsidRPr="003238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E84962" w:rsidRPr="003238C0" w14:paraId="6A87505C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04B476C5" w14:textId="027126C4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1A3D0763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Учасники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32510DB3" w14:textId="68401711" w:rsidR="00E84962" w:rsidRPr="003238C0" w:rsidRDefault="009764A2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ідділи міської ради, установи і організації міста, старости сіл.</w:t>
            </w:r>
          </w:p>
        </w:tc>
      </w:tr>
      <w:tr w:rsidR="00E84962" w:rsidRPr="003238C0" w14:paraId="1F49580A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6422CC6F" w14:textId="04D27278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2609B78F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Терміни реалізації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5DD3BEBE" w14:textId="70D533FB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 w:rsidR="00922AF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–202</w:t>
            </w:r>
            <w:r w:rsidR="00316E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E84962" w:rsidRPr="003238C0" w14:paraId="272D8524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5BC34961" w14:textId="37D12202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6DE2EE98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35E82DB0" w14:textId="17333FB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Обласний</w:t>
            </w:r>
            <w:r w:rsidR="00316E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</w:t>
            </w:r>
            <w:r w:rsidR="00316E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бюджет Андрушівської територіальної громади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 межах </w:t>
            </w:r>
            <w:r w:rsidR="00316E3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фінансових можливостей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E84962" w:rsidRPr="003238C0" w14:paraId="6BE56A43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18598581" w14:textId="75CA7B29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3D636E05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2A808C96" w14:textId="77777777" w:rsidR="00E84962" w:rsidRPr="003238C0" w:rsidRDefault="00E8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</w:p>
          <w:p w14:paraId="209E1702" w14:textId="49635CBC" w:rsidR="00E84962" w:rsidRPr="003238C0" w:rsidRDefault="0097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F100E4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межах </w:t>
            </w:r>
            <w:r w:rsidR="00F100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фінансових можливостей</w:t>
            </w:r>
          </w:p>
        </w:tc>
      </w:tr>
      <w:tr w:rsidR="00E84962" w:rsidRPr="003238C0" w14:paraId="01553337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5B2A7191" w14:textId="2F2424E0" w:rsidR="00E84962" w:rsidRPr="003238C0" w:rsidRDefault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953C67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0653B0CE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тому числі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53B27C3E" w14:textId="77777777" w:rsidR="00E84962" w:rsidRPr="003238C0" w:rsidRDefault="00E8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</w:p>
        </w:tc>
      </w:tr>
      <w:tr w:rsidR="00E84962" w:rsidRPr="003238C0" w14:paraId="4C373ED1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3C9A6C8B" w14:textId="77777777" w:rsidR="00E84962" w:rsidRPr="003238C0" w:rsidRDefault="00E8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0B42E6BE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обласний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6D0DF9DB" w14:textId="2D8D3D3C" w:rsidR="00E84962" w:rsidRPr="003238C0" w:rsidRDefault="0097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F100E4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межах </w:t>
            </w:r>
            <w:r w:rsidR="00F100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фінансових можливостей</w:t>
            </w:r>
            <w:r w:rsidR="00F100E4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84962" w:rsidRPr="003238C0" w14:paraId="6E1B7DB6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7E71C64B" w14:textId="77777777" w:rsidR="00E84962" w:rsidRPr="003238C0" w:rsidRDefault="00E8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09F029CF" w14:textId="75E57543" w:rsidR="00E84962" w:rsidRPr="003238C0" w:rsidRDefault="00953C67" w:rsidP="0082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місцевий бюджет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2C55AEB1" w14:textId="3931E9D3" w:rsidR="00E84962" w:rsidRPr="003238C0" w:rsidRDefault="00976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F100E4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межах </w:t>
            </w:r>
            <w:r w:rsidR="00F100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фінансових можливостей</w:t>
            </w:r>
            <w:r w:rsidR="00F100E4"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E84962" w:rsidRPr="003238C0" w14:paraId="0D6CF094" w14:textId="77777777" w:rsidTr="00F100E4">
        <w:trPr>
          <w:trHeight w:val="680"/>
        </w:trPr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2FB29EE9" w14:textId="77777777" w:rsidR="00E84962" w:rsidRPr="003238C0" w:rsidRDefault="00E84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uk-UA"/>
              </w:rPr>
            </w:pP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72872AC8" w14:textId="77777777" w:rsidR="00E84962" w:rsidRPr="003238C0" w:rsidRDefault="00953C67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інші джерела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63F01BF2" w14:textId="7ED08FA9" w:rsidR="00E84962" w:rsidRPr="00F100E4" w:rsidRDefault="00F100E4" w:rsidP="0082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100E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Джерела фінансування які незаборонені законом</w:t>
            </w:r>
          </w:p>
        </w:tc>
      </w:tr>
      <w:tr w:rsidR="00F100E4" w:rsidRPr="003238C0" w14:paraId="4C2E2715" w14:textId="77777777">
        <w:tc>
          <w:tcPr>
            <w:tcW w:w="636" w:type="dxa"/>
            <w:shd w:val="clear" w:color="auto" w:fill="auto"/>
            <w:tcMar>
              <w:left w:w="88" w:type="dxa"/>
            </w:tcMar>
          </w:tcPr>
          <w:p w14:paraId="27561331" w14:textId="403B1F14" w:rsidR="00F100E4" w:rsidRPr="003238C0" w:rsidRDefault="00F100E4" w:rsidP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72" w:type="dxa"/>
            <w:shd w:val="clear" w:color="auto" w:fill="auto"/>
            <w:tcMar>
              <w:left w:w="88" w:type="dxa"/>
            </w:tcMar>
          </w:tcPr>
          <w:p w14:paraId="2C2B05D6" w14:textId="77777777" w:rsidR="00F100E4" w:rsidRPr="003238C0" w:rsidRDefault="00F100E4" w:rsidP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джерела фінансування Програми</w:t>
            </w:r>
          </w:p>
        </w:tc>
        <w:tc>
          <w:tcPr>
            <w:tcW w:w="5400" w:type="dxa"/>
            <w:shd w:val="clear" w:color="auto" w:fill="auto"/>
            <w:tcMar>
              <w:left w:w="88" w:type="dxa"/>
            </w:tcMar>
          </w:tcPr>
          <w:p w14:paraId="098B9DB7" w14:textId="4C7BF784" w:rsidR="00F100E4" w:rsidRPr="003238C0" w:rsidRDefault="00F100E4" w:rsidP="00F100E4">
            <w:pPr>
              <w:spacing w:after="0" w:line="240" w:lineRule="auto"/>
              <w:jc w:val="both"/>
              <w:rPr>
                <w:sz w:val="28"/>
                <w:szCs w:val="28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Обласний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бюджет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бюджет Андрушівської територіальної громади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(в межах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фінансових можливостей</w:t>
            </w:r>
            <w:r w:rsidRPr="003238C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</w:tbl>
    <w:p w14:paraId="3B55416D" w14:textId="22243E35" w:rsidR="00E84962" w:rsidRPr="003238C0" w:rsidRDefault="00C16F75" w:rsidP="0030391F">
      <w:pPr>
        <w:tabs>
          <w:tab w:val="left" w:pos="12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14:paraId="38F5BA49" w14:textId="77777777" w:rsidR="00C16F75" w:rsidRDefault="00953C67" w:rsidP="0030391F">
      <w:pPr>
        <w:tabs>
          <w:tab w:val="left" w:pos="122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Програма «Питна вода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Андрушівщини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» на 202</w:t>
      </w:r>
      <w:r w:rsidR="00593B76">
        <w:rPr>
          <w:rFonts w:ascii="Times New Roman" w:hAnsi="Times New Roman" w:cs="Times New Roman"/>
          <w:sz w:val="28"/>
          <w:szCs w:val="28"/>
        </w:rPr>
        <w:t>4</w:t>
      </w:r>
      <w:r w:rsidRPr="003238C0">
        <w:rPr>
          <w:rFonts w:ascii="Times New Roman" w:hAnsi="Times New Roman" w:cs="Times New Roman"/>
          <w:sz w:val="28"/>
          <w:szCs w:val="28"/>
        </w:rPr>
        <w:t>-202</w:t>
      </w:r>
      <w:r w:rsidR="00C16F75">
        <w:rPr>
          <w:rFonts w:ascii="Times New Roman" w:hAnsi="Times New Roman" w:cs="Times New Roman"/>
          <w:sz w:val="28"/>
          <w:szCs w:val="28"/>
        </w:rPr>
        <w:t>6</w:t>
      </w:r>
      <w:r w:rsidRPr="003238C0">
        <w:rPr>
          <w:rFonts w:ascii="Times New Roman" w:hAnsi="Times New Roman" w:cs="Times New Roman"/>
          <w:sz w:val="28"/>
          <w:szCs w:val="28"/>
        </w:rPr>
        <w:t xml:space="preserve"> роки» (далі – Програма) спрямована на реалізацію державної політики щодо забезпечення населення громади якісною питною водою відповідно до Закону України «Про питну воду, питне водопостачання та водовідведення».</w:t>
      </w:r>
    </w:p>
    <w:p w14:paraId="4FC9D46B" w14:textId="1278A244" w:rsidR="00E84962" w:rsidRPr="003238C0" w:rsidRDefault="00953C67" w:rsidP="00C16F75">
      <w:pPr>
        <w:tabs>
          <w:tab w:val="left" w:pos="122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Забезпечення жителів Андрушівської громади питною водою є однією з пріоритетних завдань, розв’язання яких необхідно для збереження здоров’я, поліпшення умов діяльності і підвищення рівня життя населення.</w:t>
      </w:r>
    </w:p>
    <w:p w14:paraId="0CE6F52D" w14:textId="77777777" w:rsidR="00E84962" w:rsidRPr="003238C0" w:rsidRDefault="00953C67" w:rsidP="00C16F75">
      <w:pPr>
        <w:tabs>
          <w:tab w:val="left" w:pos="1224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Розроблення Програми обумовлено :</w:t>
      </w:r>
    </w:p>
    <w:p w14:paraId="13586CD5" w14:textId="37A65DC1" w:rsidR="00E84962" w:rsidRPr="003238C0" w:rsidRDefault="00953C67" w:rsidP="00C16F75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незадовільним екологічним станом поверхневих та підземних джерел питного водопостачання;</w:t>
      </w:r>
    </w:p>
    <w:p w14:paraId="4253E4AC" w14:textId="77777777" w:rsidR="00E84962" w:rsidRPr="003238C0" w:rsidRDefault="00953C67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lastRenderedPageBreak/>
        <w:t>потенційною загрозою ускладнення санітарно-епідемічної ситуації в громаді внаслідок низької якості питної води в шахтних колодязів;</w:t>
      </w:r>
    </w:p>
    <w:p w14:paraId="2778644A" w14:textId="77777777" w:rsidR="00E84962" w:rsidRPr="003238C0" w:rsidRDefault="00953C67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незадовільним технічним станом та зношеністю основних фондів систем питного водопостачання та водовідведення;</w:t>
      </w:r>
    </w:p>
    <w:p w14:paraId="50AC4180" w14:textId="77777777" w:rsidR="00E84962" w:rsidRPr="003238C0" w:rsidRDefault="00953C67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застосуванням застарілих технологій та обладнання в системах питного водопостачання та водовідведення міста та сіл громади;</w:t>
      </w:r>
    </w:p>
    <w:p w14:paraId="7B59A470" w14:textId="77777777" w:rsidR="00E84962" w:rsidRPr="003238C0" w:rsidRDefault="00953C67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високою енергоємністю централізованого питного водопостачання та водовідведення;</w:t>
      </w:r>
    </w:p>
    <w:p w14:paraId="39064DD4" w14:textId="723F5379" w:rsidR="00E84962" w:rsidRDefault="00953C67">
      <w:pPr>
        <w:numPr>
          <w:ilvl w:val="0"/>
          <w:numId w:val="1"/>
        </w:numPr>
        <w:tabs>
          <w:tab w:val="left" w:pos="12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color w:val="000000"/>
          <w:sz w:val="28"/>
          <w:szCs w:val="28"/>
        </w:rPr>
        <w:t xml:space="preserve">обмеженістю інвестицій та </w:t>
      </w:r>
      <w:r w:rsidRPr="003238C0">
        <w:rPr>
          <w:rFonts w:ascii="Times New Roman" w:hAnsi="Times New Roman" w:cs="Times New Roman"/>
          <w:sz w:val="28"/>
          <w:szCs w:val="28"/>
        </w:rPr>
        <w:t>дефіцитом фінансових ресурсів, необхідних для розвитку, утримання в належному стані та експлуатації системи питного водопостачання та водовідведення.</w:t>
      </w:r>
    </w:p>
    <w:p w14:paraId="02724F9B" w14:textId="77777777" w:rsidR="0030391F" w:rsidRPr="003238C0" w:rsidRDefault="0030391F" w:rsidP="0030391F">
      <w:pPr>
        <w:tabs>
          <w:tab w:val="left" w:pos="122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B406B9B" w14:textId="77777777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Розділ I</w:t>
      </w:r>
    </w:p>
    <w:p w14:paraId="310877C5" w14:textId="77777777" w:rsidR="00825A41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Якість питної води та сучасний стан</w:t>
      </w:r>
      <w:r w:rsidR="00C16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b/>
          <w:sz w:val="28"/>
          <w:szCs w:val="28"/>
        </w:rPr>
        <w:t xml:space="preserve">водопровідно-каналізаційної </w:t>
      </w:r>
    </w:p>
    <w:p w14:paraId="372A4B1E" w14:textId="56CA7C1E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мережі на території</w:t>
      </w:r>
      <w:r w:rsidR="00C16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238C0">
        <w:rPr>
          <w:rFonts w:ascii="Times New Roman" w:hAnsi="Times New Roman" w:cs="Times New Roman"/>
          <w:b/>
          <w:sz w:val="28"/>
          <w:szCs w:val="28"/>
        </w:rPr>
        <w:t>Андрушівської</w:t>
      </w:r>
      <w:proofErr w:type="spellEnd"/>
      <w:r w:rsidRPr="003238C0">
        <w:rPr>
          <w:rFonts w:ascii="Times New Roman" w:hAnsi="Times New Roman" w:cs="Times New Roman"/>
          <w:b/>
          <w:sz w:val="28"/>
          <w:szCs w:val="28"/>
        </w:rPr>
        <w:t xml:space="preserve"> міської ради.</w:t>
      </w:r>
    </w:p>
    <w:p w14:paraId="6C907CD6" w14:textId="19B13807" w:rsidR="00E84962" w:rsidRPr="003238C0" w:rsidRDefault="00953C67" w:rsidP="0030391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Гідрологічна мережа населених пунктів Андрушівської громади</w:t>
      </w:r>
      <w:r w:rsidR="00593B76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(представлена р.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Гуйва (права притока р.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 xml:space="preserve">Тетерів) та річкою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Пустоха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(ліва притока річки Гуйва).</w:t>
      </w:r>
      <w:r w:rsidRPr="003238C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,Загальна площа яких становить  майже 1200 га. </w:t>
      </w:r>
    </w:p>
    <w:p w14:paraId="7E120DC2" w14:textId="39FD9715" w:rsidR="00E84962" w:rsidRPr="003238C0" w:rsidRDefault="00953C67" w:rsidP="00C1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Водопостачання та водовідведення здійснює комунальне підприємство 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міської ради та його структурний підрозділ Водоканал.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У господарському віданні підприємства водопровідно-каналізаційного господарства на території міста перебуває 65 км мереж водопостачання, 34 км стоять на балансі КП 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», 4 артезіанських свердловини (3 працюючі та 1 законсервована), 1 станція підйому води,</w:t>
      </w:r>
      <w:r w:rsidR="00593B76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2 водо-каналізаційні очисні споруди та 3каналізаційно-насосні станції.</w:t>
      </w:r>
    </w:p>
    <w:p w14:paraId="15A6BA99" w14:textId="77777777" w:rsidR="00E84962" w:rsidRPr="003238C0" w:rsidRDefault="00953C67" w:rsidP="00C1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 той же час на території Андрушівської міської ради є ряд мереж водопостачання та водовідведення, які потребують заміни, ремонту, завершення робіт та введення в експлуатацію.</w:t>
      </w:r>
    </w:p>
    <w:p w14:paraId="38514172" w14:textId="77777777" w:rsidR="00E84962" w:rsidRPr="003238C0" w:rsidRDefault="00953C67" w:rsidP="00C1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Тому, проблема водопостачання населення Андрушівської міської ради питною водою належної якості та водовідведення має стратегічне значення і потребує комплексного вирішення.</w:t>
      </w:r>
    </w:p>
    <w:p w14:paraId="20487F4B" w14:textId="77777777" w:rsidR="00E84962" w:rsidRPr="003238C0" w:rsidRDefault="00953C67" w:rsidP="00C16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Оцінюючи санітарно-гігієнічну ситуацію, необхідно констатувати, що все населення громади так чи інакше підпадає під вплив шкідливих факторів. </w:t>
      </w:r>
    </w:p>
    <w:p w14:paraId="224019D4" w14:textId="7684698B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Серед причин низької якості питної води є :</w:t>
      </w:r>
    </w:p>
    <w:p w14:paraId="102B8DCB" w14:textId="3762FDED" w:rsidR="00E84962" w:rsidRPr="003238C0" w:rsidRDefault="00953C67" w:rsidP="00C16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забруднення поверхневого стоку - залишками агрохімікатів, вмістом побутових вигрібних ям та септиків, </w:t>
      </w:r>
      <w:r w:rsidR="00593B76">
        <w:rPr>
          <w:rFonts w:ascii="Times New Roman" w:hAnsi="Times New Roman" w:cs="Times New Roman"/>
          <w:sz w:val="28"/>
          <w:szCs w:val="28"/>
        </w:rPr>
        <w:t xml:space="preserve">стихійних </w:t>
      </w:r>
      <w:r w:rsidRPr="003238C0">
        <w:rPr>
          <w:rFonts w:ascii="Times New Roman" w:hAnsi="Times New Roman" w:cs="Times New Roman"/>
          <w:sz w:val="28"/>
          <w:szCs w:val="28"/>
        </w:rPr>
        <w:t>звалищ твердих побутових відходів, дощових вод;</w:t>
      </w:r>
    </w:p>
    <w:p w14:paraId="71EB6BED" w14:textId="77777777" w:rsidR="00E84962" w:rsidRPr="003238C0" w:rsidRDefault="00953C67" w:rsidP="00C16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невідповідність стандартам - технології очистки води; </w:t>
      </w:r>
    </w:p>
    <w:p w14:paraId="6F98525D" w14:textId="77777777" w:rsidR="00E84962" w:rsidRPr="003238C0" w:rsidRDefault="00953C67" w:rsidP="00C16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невідповідність стандартам - технології очистки стічних вод;</w:t>
      </w:r>
    </w:p>
    <w:p w14:paraId="419CAFF3" w14:textId="77777777" w:rsidR="00E84962" w:rsidRPr="003238C0" w:rsidRDefault="00953C67" w:rsidP="00C16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погіршення стану водопровідних і каналізаційних мереж;</w:t>
      </w:r>
    </w:p>
    <w:p w14:paraId="3316C1FD" w14:textId="7D3D806D" w:rsidR="00E84962" w:rsidRPr="003238C0" w:rsidRDefault="00953C67" w:rsidP="00C16F7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наявність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не</w:t>
      </w:r>
      <w:r w:rsidR="00593B76">
        <w:rPr>
          <w:rFonts w:ascii="Times New Roman" w:hAnsi="Times New Roman" w:cs="Times New Roman"/>
          <w:sz w:val="28"/>
          <w:szCs w:val="28"/>
        </w:rPr>
        <w:t>в</w:t>
      </w:r>
      <w:r w:rsidRPr="003238C0">
        <w:rPr>
          <w:rFonts w:ascii="Times New Roman" w:hAnsi="Times New Roman" w:cs="Times New Roman"/>
          <w:sz w:val="28"/>
          <w:szCs w:val="28"/>
        </w:rPr>
        <w:t xml:space="preserve">пізнаних і непридатних для використання агрохімікатів, що зберігаються у непристосованих умовах. </w:t>
      </w:r>
    </w:p>
    <w:p w14:paraId="6B65F442" w14:textId="77777777" w:rsidR="00E84962" w:rsidRPr="003238C0" w:rsidRDefault="00953C67" w:rsidP="00C16F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Джерелами несприятливого впливу на водойми і їх забруднення служать :</w:t>
      </w:r>
    </w:p>
    <w:p w14:paraId="41588602" w14:textId="77777777" w:rsidR="00E84962" w:rsidRPr="003238C0" w:rsidRDefault="00953C67" w:rsidP="00C16F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господарсько-побутові стічні води : Андрушівської  міської  лікарні.</w:t>
      </w:r>
    </w:p>
    <w:p w14:paraId="7C19C248" w14:textId="1A63F4E1" w:rsidR="00E84962" w:rsidRPr="003238C0" w:rsidRDefault="00953C67" w:rsidP="00C16F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стічні води підприємств : ТОВ 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Андрушівський</w:t>
      </w:r>
      <w:proofErr w:type="spellEnd"/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маслосирзавод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», </w:t>
      </w:r>
      <w:r w:rsidR="00D14CE9">
        <w:rPr>
          <w:rFonts w:ascii="Times New Roman" w:hAnsi="Times New Roman" w:cs="Times New Roman"/>
          <w:sz w:val="28"/>
          <w:szCs w:val="28"/>
        </w:rPr>
        <w:t>ТОВ</w:t>
      </w:r>
      <w:r w:rsidRPr="003238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4CE9">
        <w:rPr>
          <w:rFonts w:ascii="Times New Roman" w:hAnsi="Times New Roman" w:cs="Times New Roman"/>
          <w:sz w:val="28"/>
          <w:szCs w:val="28"/>
        </w:rPr>
        <w:t>Агрохолдинг</w:t>
      </w:r>
      <w:proofErr w:type="spellEnd"/>
      <w:r w:rsidR="00D14CE9">
        <w:rPr>
          <w:rFonts w:ascii="Times New Roman" w:hAnsi="Times New Roman" w:cs="Times New Roman"/>
          <w:sz w:val="28"/>
          <w:szCs w:val="28"/>
        </w:rPr>
        <w:t>» Хортиця»</w:t>
      </w:r>
      <w:r w:rsidRPr="003238C0">
        <w:rPr>
          <w:rFonts w:ascii="Times New Roman" w:hAnsi="Times New Roman" w:cs="Times New Roman"/>
          <w:sz w:val="28"/>
          <w:szCs w:val="28"/>
        </w:rPr>
        <w:t>.</w:t>
      </w:r>
    </w:p>
    <w:p w14:paraId="033F2FE8" w14:textId="77777777" w:rsidR="00E84962" w:rsidRPr="003238C0" w:rsidRDefault="00953C67" w:rsidP="00C16F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надходження дощових і талих вод з прибережних територій і населених місць.</w:t>
      </w:r>
    </w:p>
    <w:p w14:paraId="2A1D928D" w14:textId="77777777" w:rsidR="00E84962" w:rsidRPr="003238C0" w:rsidRDefault="00953C67" w:rsidP="00C16F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lastRenderedPageBreak/>
        <w:t>відсутність належної санітарної очистки і благоустрою населених пунктів.</w:t>
      </w:r>
    </w:p>
    <w:p w14:paraId="4B8BF8B3" w14:textId="77777777" w:rsidR="00E84962" w:rsidRPr="003238C0" w:rsidRDefault="00953C67" w:rsidP="00825A41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невпорядковане зберігання невизначених і непридатних для використання агрохімікатів на території громади.</w:t>
      </w:r>
    </w:p>
    <w:p w14:paraId="0D818EC7" w14:textId="77777777" w:rsidR="00E84962" w:rsidRPr="003238C0" w:rsidRDefault="00953C67" w:rsidP="00C16F75">
      <w:pPr>
        <w:tabs>
          <w:tab w:val="left" w:pos="122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ДЕЦЕНТРАЛІЗОВАНЕ ВОДОПОСТАЧАННЯ</w:t>
      </w:r>
    </w:p>
    <w:p w14:paraId="3E4F1FE4" w14:textId="77777777" w:rsidR="00E84962" w:rsidRPr="003238C0" w:rsidRDefault="00953C67" w:rsidP="00C16F75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Питне водопостачання на території Андрушівської міської ради майже на 75% (колодязі) забезпечується за рахунок використання поверхневих вод і воно є найбільш невирішеним. Стосовно причин забруднення, враховуючи дані поточного обстеження, можна зробити такі висновки.</w:t>
      </w:r>
    </w:p>
    <w:p w14:paraId="7C873F1F" w14:textId="77777777" w:rsidR="00E84962" w:rsidRPr="003238C0" w:rsidRDefault="00953C67" w:rsidP="00C16F75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 Колодязі побудовано самовільно, без санітарно-топографічного обстеження, характеристики водомістких порід, ступеню водопроникності шарів, які перекривають водоносний горизонт, аналіз стану води діючих колодязів, які живляться водою з цього горизонту. Санітарно-технічне обстеження також не проводилось, тому не враховувалась глибина залягання водоносного горизонту і, відповідно, колодязі не заглиблені в водоносний горизонт для кращого його розкриття і збільшення шару води.</w:t>
      </w:r>
    </w:p>
    <w:p w14:paraId="6B8D8B89" w14:textId="77777777" w:rsidR="00E84962" w:rsidRPr="003238C0" w:rsidRDefault="00953C67" w:rsidP="00C16F75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Якість води в основному залежить від гігієнічного стану навколишнього середовища. Населення та сільськогосподарські підприємства, вирощуючи сільськогосподарську продукцію, вносять в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не лише органічні добрива, а й мінеральні та хімічні засоби. Окрім того, мешканці сільської місцевості облаштовують собі додаткові зручності: водогін від власної криниці, каналізацію, яка відповідає санітарним нормам лише у межах житлового будинку. </w:t>
      </w:r>
    </w:p>
    <w:p w14:paraId="302EE99A" w14:textId="340DBA76" w:rsidR="00E84962" w:rsidRPr="003238C0" w:rsidRDefault="00953C67">
      <w:pPr>
        <w:tabs>
          <w:tab w:val="left" w:pos="12240"/>
        </w:tabs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Цивілізовані побутові умови у декілька разів збільшують споживання питної води, збільшується використання побутової хімії. В той же час очистка стічних вод домогосподарств виконується як правило найпростішим чином  у вигляді фільтрації через шар ґрунту, який підстилає септик. Як наслідок, в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грунті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накопичуються віруси, патогенні мікроорганізми, органічні сполуки і увесь хімічний склад мийних засобів, які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грунтовими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водами транспортуються у відкриті водойми, шахтні криниці, створюючи ризик ураження людей. </w:t>
      </w:r>
    </w:p>
    <w:p w14:paraId="12C482E7" w14:textId="7459ACF0" w:rsidR="00E84962" w:rsidRPr="003238C0" w:rsidRDefault="00953C67" w:rsidP="0030391F">
      <w:pPr>
        <w:tabs>
          <w:tab w:val="left" w:pos="12240"/>
        </w:tabs>
        <w:spacing w:after="0" w:line="240" w:lineRule="auto"/>
        <w:ind w:firstLine="720"/>
        <w:jc w:val="center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ВОДОГОНИ</w:t>
      </w:r>
    </w:p>
    <w:p w14:paraId="513180DE" w14:textId="53B0CA59" w:rsidR="00E84962" w:rsidRPr="003238C0" w:rsidRDefault="00953C67" w:rsidP="0030391F">
      <w:pPr>
        <w:spacing w:after="0" w:line="240" w:lineRule="auto"/>
        <w:ind w:firstLine="708"/>
        <w:jc w:val="both"/>
        <w:rPr>
          <w:rFonts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Станом на 1 </w:t>
      </w:r>
      <w:r w:rsidR="00C16F75">
        <w:rPr>
          <w:rFonts w:ascii="Times New Roman" w:hAnsi="Times New Roman" w:cs="Times New Roman"/>
          <w:sz w:val="28"/>
          <w:szCs w:val="28"/>
        </w:rPr>
        <w:t>вересня</w:t>
      </w:r>
      <w:r w:rsidRPr="003238C0">
        <w:rPr>
          <w:rFonts w:ascii="Times New Roman" w:hAnsi="Times New Roman" w:cs="Times New Roman"/>
          <w:sz w:val="28"/>
          <w:szCs w:val="28"/>
        </w:rPr>
        <w:t xml:space="preserve"> 202</w:t>
      </w:r>
      <w:r w:rsidR="00C16F75">
        <w:rPr>
          <w:rFonts w:ascii="Times New Roman" w:hAnsi="Times New Roman" w:cs="Times New Roman"/>
          <w:sz w:val="28"/>
          <w:szCs w:val="28"/>
        </w:rPr>
        <w:t>3</w:t>
      </w:r>
      <w:r w:rsidRPr="003238C0">
        <w:rPr>
          <w:rFonts w:ascii="Times New Roman" w:hAnsi="Times New Roman" w:cs="Times New Roman"/>
          <w:sz w:val="28"/>
          <w:szCs w:val="28"/>
        </w:rPr>
        <w:t xml:space="preserve"> року централізованим питним водопостачанням забезпечено 92% населення м.</w:t>
      </w:r>
      <w:r w:rsidR="00911F3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Андрушівка,</w:t>
      </w:r>
      <w:r w:rsidR="00911F3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8% - через шахтні колодязі, с. Гальчин</w:t>
      </w:r>
      <w:r w:rsidR="00911F3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(73%/27%), с.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Мостове (11%/89%), c. Нова Котельня</w:t>
      </w:r>
      <w:r w:rsidR="00911F3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 xml:space="preserve">(25%/75%) , с. Мала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П’ятигірка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всього 22% населення </w:t>
      </w:r>
      <w:r w:rsidR="00230C5D">
        <w:rPr>
          <w:rFonts w:ascii="Times New Roman" w:hAnsi="Times New Roman" w:cs="Times New Roman"/>
          <w:sz w:val="28"/>
          <w:szCs w:val="28"/>
        </w:rPr>
        <w:t>громади</w:t>
      </w:r>
      <w:bookmarkStart w:id="0" w:name="_GoBack"/>
      <w:bookmarkEnd w:id="0"/>
      <w:r w:rsidRPr="003238C0">
        <w:rPr>
          <w:rFonts w:ascii="Times New Roman" w:hAnsi="Times New Roman" w:cs="Times New Roman"/>
          <w:sz w:val="28"/>
          <w:szCs w:val="28"/>
        </w:rPr>
        <w:t>.</w:t>
      </w:r>
    </w:p>
    <w:p w14:paraId="7329B689" w14:textId="45CFE727" w:rsidR="00E84962" w:rsidRPr="003238C0" w:rsidRDefault="00953C67" w:rsidP="00C16F75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На території громади функціонує </w:t>
      </w:r>
      <w:r w:rsidR="00C16F75">
        <w:rPr>
          <w:rFonts w:ascii="Times New Roman" w:hAnsi="Times New Roman" w:cs="Times New Roman"/>
          <w:sz w:val="28"/>
          <w:szCs w:val="28"/>
        </w:rPr>
        <w:t>7</w:t>
      </w:r>
      <w:r w:rsidRPr="003238C0">
        <w:rPr>
          <w:rFonts w:ascii="Times New Roman" w:hAnsi="Times New Roman" w:cs="Times New Roman"/>
          <w:sz w:val="28"/>
          <w:szCs w:val="28"/>
        </w:rPr>
        <w:t xml:space="preserve"> водопроводів,  в тому числі: </w:t>
      </w:r>
      <w:r w:rsidR="00C16F75">
        <w:rPr>
          <w:rFonts w:ascii="Times New Roman" w:hAnsi="Times New Roman" w:cs="Times New Roman"/>
          <w:sz w:val="28"/>
          <w:szCs w:val="28"/>
        </w:rPr>
        <w:t>3</w:t>
      </w:r>
      <w:r w:rsidRPr="003238C0">
        <w:rPr>
          <w:rFonts w:ascii="Times New Roman" w:hAnsi="Times New Roman" w:cs="Times New Roman"/>
          <w:sz w:val="28"/>
          <w:szCs w:val="28"/>
        </w:rPr>
        <w:t xml:space="preserve"> - комунальної форми власності м.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Андрушівка</w:t>
      </w:r>
      <w:r w:rsidR="001A09F2">
        <w:rPr>
          <w:rFonts w:ascii="Times New Roman" w:hAnsi="Times New Roman" w:cs="Times New Roman"/>
          <w:sz w:val="28"/>
          <w:szCs w:val="28"/>
        </w:rPr>
        <w:t>,</w:t>
      </w:r>
      <w:r w:rsidRPr="003238C0">
        <w:rPr>
          <w:rFonts w:ascii="Times New Roman" w:hAnsi="Times New Roman" w:cs="Times New Roman"/>
          <w:sz w:val="28"/>
          <w:szCs w:val="28"/>
        </w:rPr>
        <w:t xml:space="preserve"> с. Гальчин</w:t>
      </w:r>
      <w:r w:rsidR="001A09F2">
        <w:rPr>
          <w:rFonts w:ascii="Times New Roman" w:hAnsi="Times New Roman" w:cs="Times New Roman"/>
          <w:sz w:val="28"/>
          <w:szCs w:val="28"/>
        </w:rPr>
        <w:t>, с. Нехворощ</w:t>
      </w:r>
      <w:r w:rsidRPr="003238C0">
        <w:rPr>
          <w:rFonts w:ascii="Times New Roman" w:hAnsi="Times New Roman" w:cs="Times New Roman"/>
          <w:sz w:val="28"/>
          <w:szCs w:val="28"/>
        </w:rPr>
        <w:t xml:space="preserve">; 1- с. М.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П’ятигірка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(не  прийнятий на баланс); 1 - с. Мостове кооператив «Надія»;</w:t>
      </w:r>
      <w:r w:rsidR="00911F3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2-відомчі-  ВАТ 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Андрушівський</w:t>
      </w:r>
      <w:proofErr w:type="spellEnd"/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маслосирзавод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», ПОСП «Колос»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с. Нова Котельня.</w:t>
      </w:r>
    </w:p>
    <w:p w14:paraId="224CA992" w14:textId="77777777" w:rsidR="00E84962" w:rsidRPr="003238C0" w:rsidRDefault="00953C67" w:rsidP="001A09F2">
      <w:pPr>
        <w:tabs>
          <w:tab w:val="left" w:pos="12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Всі водопроводи використовують артезіанські свердловини, тому вода в них за бактеріологічними показниками стабільної якості.</w:t>
      </w:r>
    </w:p>
    <w:p w14:paraId="72120CFE" w14:textId="23B93AD0" w:rsidR="00E84962" w:rsidRDefault="00953C67" w:rsidP="00825A4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На території Андрушівської міської ради  є велика кількість артезіанських свердловин, які не використовуються і в зв’язку з цим підлягають консервації (тампонуванню). Їх кількість невизначена. Частина з цих артезіанських свердловин є безхазяйними. Санітарно-технічний стан та обладнання більшості свердловин громади які експлуатуються вкрай незадовільний: охоронні зони виділені лише на 24 свердловинах, обладнання </w:t>
      </w:r>
      <w:r w:rsidRPr="003238C0">
        <w:rPr>
          <w:rFonts w:ascii="Times New Roman" w:hAnsi="Times New Roman" w:cs="Times New Roman"/>
          <w:sz w:val="28"/>
          <w:szCs w:val="28"/>
        </w:rPr>
        <w:lastRenderedPageBreak/>
        <w:t>піддалось корозії, паспорти на 80% відсутні</w:t>
      </w:r>
      <w:r w:rsidRPr="003238C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3238C0">
        <w:rPr>
          <w:rFonts w:ascii="Times New Roman" w:hAnsi="Times New Roman" w:cs="Times New Roman"/>
          <w:sz w:val="28"/>
          <w:szCs w:val="28"/>
        </w:rPr>
        <w:t>Із існуючих всі потребують проведення реконструкції або капітального ремонту.</w:t>
      </w:r>
    </w:p>
    <w:p w14:paraId="39896D00" w14:textId="77777777" w:rsidR="00E84962" w:rsidRPr="003238C0" w:rsidRDefault="00953C67" w:rsidP="0030391F">
      <w:pPr>
        <w:tabs>
          <w:tab w:val="left" w:pos="122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КАНАЛІЗАЦІЯ ТА ОЧИСНІ СПОРУДИ</w:t>
      </w:r>
    </w:p>
    <w:p w14:paraId="6827753C" w14:textId="7832AF38" w:rsidR="00E84962" w:rsidRPr="003238C0" w:rsidRDefault="00953C67" w:rsidP="003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Станом на 1 </w:t>
      </w:r>
      <w:r w:rsidR="001A09F2">
        <w:rPr>
          <w:rFonts w:ascii="Times New Roman" w:hAnsi="Times New Roman" w:cs="Times New Roman"/>
          <w:sz w:val="28"/>
          <w:szCs w:val="28"/>
        </w:rPr>
        <w:t>вересня</w:t>
      </w:r>
      <w:r w:rsidRPr="003238C0">
        <w:rPr>
          <w:rFonts w:ascii="Times New Roman" w:hAnsi="Times New Roman" w:cs="Times New Roman"/>
          <w:sz w:val="28"/>
          <w:szCs w:val="28"/>
        </w:rPr>
        <w:t xml:space="preserve"> 202</w:t>
      </w:r>
      <w:r w:rsidR="001A09F2">
        <w:rPr>
          <w:rFonts w:ascii="Times New Roman" w:hAnsi="Times New Roman" w:cs="Times New Roman"/>
          <w:sz w:val="28"/>
          <w:szCs w:val="28"/>
        </w:rPr>
        <w:t>3</w:t>
      </w:r>
      <w:r w:rsidRPr="003238C0">
        <w:rPr>
          <w:rFonts w:ascii="Times New Roman" w:hAnsi="Times New Roman" w:cs="Times New Roman"/>
          <w:sz w:val="28"/>
          <w:szCs w:val="28"/>
        </w:rPr>
        <w:t xml:space="preserve"> року централізованими системами водовідведення та очистки стічних вод забезпечено частково населення м.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Андрушівка (30% - централізовано з відведенням стічних вод на очисні споруди</w:t>
      </w:r>
      <w:r w:rsidR="001C6121">
        <w:rPr>
          <w:rFonts w:ascii="Times New Roman" w:hAnsi="Times New Roman" w:cs="Times New Roman"/>
          <w:sz w:val="28"/>
          <w:szCs w:val="28"/>
        </w:rPr>
        <w:t xml:space="preserve"> ТОВ</w:t>
      </w:r>
      <w:r w:rsidR="001C6121" w:rsidRPr="003238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C6121">
        <w:rPr>
          <w:rFonts w:ascii="Times New Roman" w:hAnsi="Times New Roman" w:cs="Times New Roman"/>
          <w:sz w:val="28"/>
          <w:szCs w:val="28"/>
        </w:rPr>
        <w:t>Агрохолдинг</w:t>
      </w:r>
      <w:proofErr w:type="spellEnd"/>
      <w:r w:rsidR="001C6121">
        <w:rPr>
          <w:rFonts w:ascii="Times New Roman" w:hAnsi="Times New Roman" w:cs="Times New Roman"/>
          <w:sz w:val="28"/>
          <w:szCs w:val="28"/>
        </w:rPr>
        <w:t xml:space="preserve">» Хортиця» та  КП </w:t>
      </w:r>
      <w:r w:rsidR="001C6121" w:rsidRPr="003238C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C6121"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="001C6121" w:rsidRPr="003238C0">
        <w:rPr>
          <w:rFonts w:ascii="Times New Roman" w:hAnsi="Times New Roman" w:cs="Times New Roman"/>
          <w:sz w:val="28"/>
          <w:szCs w:val="28"/>
        </w:rPr>
        <w:t>»</w:t>
      </w:r>
      <w:r w:rsidRPr="003238C0">
        <w:rPr>
          <w:rFonts w:ascii="Times New Roman" w:hAnsi="Times New Roman" w:cs="Times New Roman"/>
          <w:sz w:val="28"/>
          <w:szCs w:val="28"/>
        </w:rPr>
        <w:t>, 70% - вигрібні ями, септики).</w:t>
      </w:r>
    </w:p>
    <w:p w14:paraId="4CC96FA3" w14:textId="7ECE2473" w:rsidR="00E84962" w:rsidRPr="003238C0" w:rsidRDefault="00953C67" w:rsidP="001A0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Очисні споруди повної біологічної очистки </w:t>
      </w:r>
      <w:r w:rsidR="00D14CE9">
        <w:rPr>
          <w:rFonts w:ascii="Times New Roman" w:hAnsi="Times New Roman" w:cs="Times New Roman"/>
          <w:sz w:val="28"/>
          <w:szCs w:val="28"/>
        </w:rPr>
        <w:t>ТОВ</w:t>
      </w:r>
      <w:r w:rsidR="00D14CE9" w:rsidRPr="003238C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14CE9">
        <w:rPr>
          <w:rFonts w:ascii="Times New Roman" w:hAnsi="Times New Roman" w:cs="Times New Roman"/>
          <w:sz w:val="28"/>
          <w:szCs w:val="28"/>
        </w:rPr>
        <w:t>Агрохолдинг</w:t>
      </w:r>
      <w:proofErr w:type="spellEnd"/>
      <w:r w:rsidR="00D14CE9">
        <w:rPr>
          <w:rFonts w:ascii="Times New Roman" w:hAnsi="Times New Roman" w:cs="Times New Roman"/>
          <w:sz w:val="28"/>
          <w:szCs w:val="28"/>
        </w:rPr>
        <w:t>» Хортиця»</w:t>
      </w:r>
      <w:r w:rsidRPr="003238C0">
        <w:rPr>
          <w:rFonts w:ascii="Times New Roman" w:hAnsi="Times New Roman" w:cs="Times New Roman"/>
          <w:sz w:val="28"/>
          <w:szCs w:val="28"/>
        </w:rPr>
        <w:t>, введені в експлуатацію в 1984 році. Розраховані на приймання господарсько-побутових і виробничих стічних вод спиртового заводу та господарсько-побутових стічних вод міста. З 1990 року приймаються стічні води ТОВ „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Андрушівський</w:t>
      </w:r>
      <w:proofErr w:type="spellEnd"/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маслоси</w:t>
      </w:r>
      <w:r w:rsidR="001A09F2">
        <w:rPr>
          <w:rFonts w:ascii="Times New Roman" w:hAnsi="Times New Roman" w:cs="Times New Roman"/>
          <w:sz w:val="28"/>
          <w:szCs w:val="28"/>
        </w:rPr>
        <w:t>р</w:t>
      </w:r>
      <w:r w:rsidRPr="003238C0">
        <w:rPr>
          <w:rFonts w:ascii="Times New Roman" w:hAnsi="Times New Roman" w:cs="Times New Roman"/>
          <w:sz w:val="28"/>
          <w:szCs w:val="28"/>
        </w:rPr>
        <w:t>завод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”. Проектом передбачалось попереднє очищення їх на очисних спорудах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маслосирзаводу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. Однак на теперішній час ці споруди не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 xml:space="preserve">можуть забезпечити нормативну якість очищення стічних вод в ході використання всіх, існуючих на сьогодні, технологічних схем переробки молока. Отож періодично стічні води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маслосирзавода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, що надходять в каналізаційну мережу міста і далі на очисні споруди, призводять до неякісної роботи очисних споруд спиртового заводу. Крім того, складний фінансово-економічний стан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спиртзаводу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, що погіршується протягом останнього десятиріччя, не дає змоги забезпечити достатнє фінансування очисних споруд, дотримання термінів капітальних і планово-попереджувальних ремонтів. </w:t>
      </w:r>
    </w:p>
    <w:p w14:paraId="4E4B9370" w14:textId="77777777" w:rsidR="001C6121" w:rsidRDefault="001C6121" w:rsidP="001A09F2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о</w:t>
      </w:r>
      <w:r w:rsidR="00172B9D">
        <w:rPr>
          <w:rFonts w:ascii="Times New Roman" w:hAnsi="Times New Roman" w:cs="Times New Roman"/>
          <w:sz w:val="28"/>
          <w:szCs w:val="28"/>
        </w:rPr>
        <w:t xml:space="preserve">чисні споруди </w:t>
      </w:r>
      <w:r w:rsidRPr="003238C0">
        <w:rPr>
          <w:rFonts w:ascii="Times New Roman" w:hAnsi="Times New Roman" w:cs="Times New Roman"/>
          <w:sz w:val="28"/>
          <w:szCs w:val="28"/>
        </w:rPr>
        <w:t xml:space="preserve">повної біологічної очистки </w:t>
      </w:r>
      <w:r w:rsidR="00172B9D">
        <w:rPr>
          <w:rFonts w:ascii="Times New Roman" w:hAnsi="Times New Roman" w:cs="Times New Roman"/>
          <w:sz w:val="28"/>
          <w:szCs w:val="28"/>
        </w:rPr>
        <w:t xml:space="preserve">міської ради які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72B9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2B9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2B9D">
        <w:rPr>
          <w:rFonts w:ascii="Times New Roman" w:hAnsi="Times New Roman" w:cs="Times New Roman"/>
          <w:sz w:val="28"/>
          <w:szCs w:val="28"/>
        </w:rPr>
        <w:t>ні в експлуатацію 2022р. та передані на баланс КП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розраховані на приймання </w:t>
      </w:r>
      <w:r w:rsidRPr="003238C0">
        <w:rPr>
          <w:rFonts w:ascii="Times New Roman" w:hAnsi="Times New Roman" w:cs="Times New Roman"/>
          <w:sz w:val="28"/>
          <w:szCs w:val="28"/>
        </w:rPr>
        <w:t>господарсько-побутових стічних вод міста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CCAF2E" w14:textId="674B4965" w:rsidR="00E84962" w:rsidRPr="003238C0" w:rsidRDefault="001C6121" w:rsidP="001A09F2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C67" w:rsidRPr="003238C0">
        <w:rPr>
          <w:rFonts w:ascii="Times New Roman" w:hAnsi="Times New Roman" w:cs="Times New Roman"/>
          <w:sz w:val="28"/>
          <w:szCs w:val="28"/>
        </w:rPr>
        <w:t xml:space="preserve">Очисні споруди центральної районної лікарні повністю виведені з ладу, тимчасово проведено перевід стічної води у відстійники </w:t>
      </w:r>
      <w:r w:rsidR="00D14CE9">
        <w:rPr>
          <w:rFonts w:ascii="Times New Roman" w:hAnsi="Times New Roman" w:cs="Times New Roman"/>
          <w:sz w:val="28"/>
          <w:szCs w:val="28"/>
        </w:rPr>
        <w:t xml:space="preserve">бувшого </w:t>
      </w:r>
      <w:r w:rsidR="00953C67" w:rsidRPr="003238C0">
        <w:rPr>
          <w:rFonts w:ascii="Times New Roman" w:hAnsi="Times New Roman" w:cs="Times New Roman"/>
          <w:sz w:val="28"/>
          <w:szCs w:val="28"/>
        </w:rPr>
        <w:t>Андрушівського цукрового заводу (північно-східна частина м.</w:t>
      </w:r>
      <w:r w:rsidR="00645430" w:rsidRPr="003238C0">
        <w:rPr>
          <w:rFonts w:ascii="Times New Roman" w:hAnsi="Times New Roman" w:cs="Times New Roman"/>
          <w:sz w:val="28"/>
          <w:szCs w:val="28"/>
        </w:rPr>
        <w:t xml:space="preserve"> </w:t>
      </w:r>
      <w:r w:rsidR="00953C67" w:rsidRPr="003238C0">
        <w:rPr>
          <w:rFonts w:ascii="Times New Roman" w:hAnsi="Times New Roman" w:cs="Times New Roman"/>
          <w:sz w:val="28"/>
          <w:szCs w:val="28"/>
        </w:rPr>
        <w:t>Андрушівка).</w:t>
      </w:r>
    </w:p>
    <w:p w14:paraId="55697849" w14:textId="77777777" w:rsidR="00E84962" w:rsidRPr="003238C0" w:rsidRDefault="00953C67" w:rsidP="003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Внаслідок невмілого застосування, перш за все населенням, сучасних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агротехнологій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потрапляють хімічні засоби захисту рослин. Власники садиб, малих виробничих об’єктів каналізують свої стічні води у вигрібні ями. При цьому в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та відповідно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грунтові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води інфільтруються небезпечні хімічні речовини та біологічні сполуки.</w:t>
      </w:r>
    </w:p>
    <w:p w14:paraId="4A387D08" w14:textId="77777777" w:rsidR="00E84962" w:rsidRPr="003238C0" w:rsidRDefault="00953C67" w:rsidP="00303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Протягом останніх двадцяти років рівень стояння води у криницях поступово і неухильно знижується. Тому кожна наступна криниця має бути глибшою. </w:t>
      </w:r>
    </w:p>
    <w:p w14:paraId="7421870D" w14:textId="6915ACF2" w:rsidR="00E84962" w:rsidRDefault="00953C67" w:rsidP="001A0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За даними лабораторних досліджень, спостерігається стабільне погіршення якості криничної води за хімічними показниками. Отже, на якість питної води у криницях негативно впливають побутові стічні води, активне використання хімічних стимуляторів росту  та засобів захисту рослин, невпорядковане поводження з побутовими відходами.</w:t>
      </w:r>
    </w:p>
    <w:p w14:paraId="7F98B3C0" w14:textId="77777777" w:rsidR="0030391F" w:rsidRPr="003238C0" w:rsidRDefault="0030391F" w:rsidP="001A0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546F42F" w14:textId="77777777" w:rsidR="00E84962" w:rsidRPr="003238C0" w:rsidRDefault="00953C67" w:rsidP="001A09F2">
      <w:pPr>
        <w:spacing w:after="0" w:line="240" w:lineRule="auto"/>
        <w:jc w:val="center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Розділ II</w:t>
      </w:r>
    </w:p>
    <w:p w14:paraId="30A0C9CB" w14:textId="77777777" w:rsidR="00825A41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Мета Програми та основні проблеми,</w:t>
      </w:r>
      <w:r w:rsidR="001A09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b/>
          <w:sz w:val="28"/>
          <w:szCs w:val="28"/>
        </w:rPr>
        <w:t xml:space="preserve">які необхідно вирішити </w:t>
      </w:r>
    </w:p>
    <w:p w14:paraId="4ECE08C2" w14:textId="3DBA56CD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в процесі її виконання</w:t>
      </w:r>
    </w:p>
    <w:p w14:paraId="5132EA6B" w14:textId="75226357" w:rsidR="00E84962" w:rsidRPr="003238C0" w:rsidRDefault="00953C67" w:rsidP="006E5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Програма «Питна вода» на 202</w:t>
      </w:r>
      <w:r w:rsidR="00D14CE9">
        <w:rPr>
          <w:rFonts w:ascii="Times New Roman" w:hAnsi="Times New Roman" w:cs="Times New Roman"/>
          <w:sz w:val="28"/>
          <w:szCs w:val="28"/>
        </w:rPr>
        <w:t>4</w:t>
      </w:r>
      <w:r w:rsidRPr="003238C0">
        <w:rPr>
          <w:rFonts w:ascii="Times New Roman" w:hAnsi="Times New Roman" w:cs="Times New Roman"/>
          <w:sz w:val="28"/>
          <w:szCs w:val="28"/>
        </w:rPr>
        <w:t>-202</w:t>
      </w:r>
      <w:r w:rsidR="001A09F2">
        <w:rPr>
          <w:rFonts w:ascii="Times New Roman" w:hAnsi="Times New Roman" w:cs="Times New Roman"/>
          <w:sz w:val="28"/>
          <w:szCs w:val="28"/>
        </w:rPr>
        <w:t>6</w:t>
      </w:r>
      <w:r w:rsidRPr="003238C0">
        <w:rPr>
          <w:rFonts w:ascii="Times New Roman" w:hAnsi="Times New Roman" w:cs="Times New Roman"/>
          <w:sz w:val="28"/>
          <w:szCs w:val="28"/>
        </w:rPr>
        <w:t xml:space="preserve"> роки» спрямована на реалізацію державної політики у сфері забезпечення населення якісною питною водою </w:t>
      </w:r>
      <w:r w:rsidRPr="003238C0">
        <w:rPr>
          <w:rFonts w:ascii="Times New Roman" w:hAnsi="Times New Roman" w:cs="Times New Roman"/>
          <w:sz w:val="28"/>
          <w:szCs w:val="28"/>
        </w:rPr>
        <w:lastRenderedPageBreak/>
        <w:t>відповідно до Закону України «Про питну воду та питне водопостачання» з урахуванням природних та економічних можливостей громади.</w:t>
      </w:r>
    </w:p>
    <w:p w14:paraId="2957F2F3" w14:textId="77777777" w:rsidR="00E84962" w:rsidRPr="003238C0" w:rsidRDefault="00953C67" w:rsidP="006E5C00">
      <w:pPr>
        <w:tabs>
          <w:tab w:val="left" w:pos="122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Метою програми є покращення забезпечення населення громади питною водою в межах норм питного водопостачання, реформування та розвиток водопровідно-каналізаційної мережі, підвищення ефективності та надійності її функціонування, поліпшення на цій основі стану здоров’я населення та оздоровлення соціально-екологічної ситуації.</w:t>
      </w:r>
    </w:p>
    <w:p w14:paraId="2E101338" w14:textId="77777777" w:rsidR="00E84962" w:rsidRPr="003238C0" w:rsidRDefault="00953C67" w:rsidP="006E5C00">
      <w:pPr>
        <w:tabs>
          <w:tab w:val="left" w:pos="12240"/>
        </w:tabs>
        <w:spacing w:after="0" w:line="240" w:lineRule="auto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Для досягнення цієї мети необхідно вирішити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слідуючі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завдання  :</w:t>
      </w:r>
    </w:p>
    <w:p w14:paraId="39BE1500" w14:textId="6BF2A0F1" w:rsidR="00E84962" w:rsidRPr="006E5C00" w:rsidRDefault="00953C67" w:rsidP="006E5C00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C00">
        <w:rPr>
          <w:rFonts w:ascii="Times New Roman" w:hAnsi="Times New Roman" w:cs="Times New Roman"/>
          <w:sz w:val="28"/>
          <w:szCs w:val="28"/>
        </w:rPr>
        <w:t>Стабілізувати фінансово-економічний стан КП Андрушівської міської</w:t>
      </w:r>
      <w:r w:rsidR="006E5C00" w:rsidRP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6E5C00">
        <w:rPr>
          <w:rFonts w:ascii="Times New Roman" w:hAnsi="Times New Roman" w:cs="Times New Roman"/>
          <w:sz w:val="28"/>
          <w:szCs w:val="28"/>
        </w:rPr>
        <w:t>ради «</w:t>
      </w:r>
      <w:proofErr w:type="spellStart"/>
      <w:r w:rsidRPr="006E5C0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6E5C00">
        <w:rPr>
          <w:rFonts w:ascii="Times New Roman" w:hAnsi="Times New Roman" w:cs="Times New Roman"/>
          <w:sz w:val="28"/>
          <w:szCs w:val="28"/>
        </w:rPr>
        <w:t>» шляхом запровадження та постійного утримання економічно обґрунтованих тарифів на послуги, забезпечити мінімальний рівень фінансування витрат на здійснення капітальних вкладень.</w:t>
      </w:r>
    </w:p>
    <w:p w14:paraId="4C3869AE" w14:textId="77777777" w:rsidR="00E84962" w:rsidRPr="003238C0" w:rsidRDefault="00953C67" w:rsidP="006E5C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Здійснити заходи щодо економії питної води та зниження енергоємності її виробництва.</w:t>
      </w:r>
    </w:p>
    <w:p w14:paraId="2B3B1965" w14:textId="77777777" w:rsidR="00E84962" w:rsidRPr="003238C0" w:rsidRDefault="00953C67" w:rsidP="006E5C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Створити сприятливі умови для залучення інвестиційних ресурсів з метою технічного переоснащення систем питного водопостачання та водовідведення.</w:t>
      </w:r>
    </w:p>
    <w:p w14:paraId="154A01B9" w14:textId="77777777" w:rsidR="00E84962" w:rsidRPr="003238C0" w:rsidRDefault="00953C67" w:rsidP="006E5C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Здійснити заходи з дослідження і охорони джерел питного водопостачання (інвентаризація та екологічна оцінка стану поверхневих і підземних джерел, розроблення прогнозів їх якості, проведення паспортизації джерел питного водопостачання).</w:t>
      </w:r>
    </w:p>
    <w:p w14:paraId="5330DB5D" w14:textId="77777777" w:rsidR="00E84962" w:rsidRPr="003238C0" w:rsidRDefault="00953C67" w:rsidP="006E5C0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Відновити та реконструювати в сільських населених пунктах системи питного водопостачання, що знаходяться у непрацюючому стані або постачають воду, яка не відповідає нормативам якості питної води.</w:t>
      </w:r>
    </w:p>
    <w:p w14:paraId="145C71BA" w14:textId="77777777" w:rsidR="00E84962" w:rsidRPr="003238C0" w:rsidRDefault="00E84962" w:rsidP="006E5C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83B879" w14:textId="77777777" w:rsidR="00E84962" w:rsidRPr="003238C0" w:rsidRDefault="00953C67" w:rsidP="006E5C00">
      <w:pPr>
        <w:spacing w:after="0" w:line="240" w:lineRule="auto"/>
        <w:jc w:val="center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Розділ III</w:t>
      </w:r>
    </w:p>
    <w:p w14:paraId="0D48D3E0" w14:textId="77777777" w:rsidR="00E84962" w:rsidRPr="003238C0" w:rsidRDefault="00953C67" w:rsidP="006E5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Заходи по виконанню Програми</w:t>
      </w:r>
    </w:p>
    <w:p w14:paraId="3DF4EAA7" w14:textId="0C35F968" w:rsidR="00E84962" w:rsidRPr="003238C0" w:rsidRDefault="00953C67" w:rsidP="006E5C00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1.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 xml:space="preserve">Здійснити заходи з дослідження і охорони джерел питного водопостачання (інвентаризація та екологічна оцінка стану підземних джерел, проведення паспортизації джерел питного водопостачання в тому числі колодязів та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скважин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).</w:t>
      </w:r>
    </w:p>
    <w:p w14:paraId="77DADDEF" w14:textId="1B3FCA5A" w:rsidR="00E84962" w:rsidRPr="003238C0" w:rsidRDefault="00953C67" w:rsidP="006E5C00">
      <w:pPr>
        <w:tabs>
          <w:tab w:val="left" w:pos="122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2.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Відновити та реконструювати системи питного  водопостачання на території громади, що знаходяться у непрацюючому стані або постачають воду, яка не відповідає нормативам якості питної води.</w:t>
      </w:r>
    </w:p>
    <w:p w14:paraId="22810ECA" w14:textId="262C5F26" w:rsidR="00E84962" w:rsidRPr="003238C0" w:rsidRDefault="00953C67" w:rsidP="006E5C00">
      <w:pPr>
        <w:tabs>
          <w:tab w:val="left" w:pos="1224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3.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Покращити якість питної води з найбільшою невідповідністю якості питної води державним стандартам та санітарному законодавству.</w:t>
      </w:r>
    </w:p>
    <w:p w14:paraId="265CA137" w14:textId="3DE6CB02" w:rsidR="00E84962" w:rsidRPr="003238C0" w:rsidRDefault="00953C67" w:rsidP="006E5C00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4.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Визначити населені пункти з високим рівнем забруднення поверхневих вод</w:t>
      </w:r>
      <w:r w:rsidR="00E54F98">
        <w:rPr>
          <w:rFonts w:ascii="Times New Roman" w:hAnsi="Times New Roman" w:cs="Times New Roman"/>
          <w:sz w:val="28"/>
          <w:szCs w:val="28"/>
        </w:rPr>
        <w:t xml:space="preserve"> з</w:t>
      </w:r>
      <w:r w:rsidRPr="003238C0">
        <w:rPr>
          <w:rFonts w:ascii="Times New Roman" w:hAnsi="Times New Roman" w:cs="Times New Roman"/>
          <w:sz w:val="28"/>
          <w:szCs w:val="28"/>
        </w:rPr>
        <w:t xml:space="preserve"> метою розширення обсягів використання підземних вод у таких населених пунктах (артезіанські </w:t>
      </w:r>
      <w:r w:rsidR="00E54F98">
        <w:rPr>
          <w:rFonts w:ascii="Times New Roman" w:hAnsi="Times New Roman" w:cs="Times New Roman"/>
          <w:sz w:val="28"/>
          <w:szCs w:val="28"/>
        </w:rPr>
        <w:t>свердловини</w:t>
      </w:r>
      <w:r w:rsidRPr="003238C0">
        <w:rPr>
          <w:rFonts w:ascii="Times New Roman" w:hAnsi="Times New Roman" w:cs="Times New Roman"/>
          <w:sz w:val="28"/>
          <w:szCs w:val="28"/>
        </w:rPr>
        <w:t>, колодязі).</w:t>
      </w:r>
    </w:p>
    <w:p w14:paraId="4AA17E44" w14:textId="79ECF20F" w:rsidR="00E84962" w:rsidRPr="003238C0" w:rsidRDefault="00953C67" w:rsidP="006E5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5.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Створення водоохоронних зон з комплексом заходів, спрямованих на запобігання забрудненню, засміченню та виснаженню водних ресурсів, а також винесення об’єктів забруднення з прибережних смуг.</w:t>
      </w:r>
    </w:p>
    <w:p w14:paraId="3075D4E4" w14:textId="23994A8C" w:rsidR="00E84962" w:rsidRDefault="00953C67" w:rsidP="006E5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6.</w:t>
      </w:r>
      <w:r w:rsidR="006E5C00">
        <w:rPr>
          <w:rFonts w:ascii="Times New Roman" w:hAnsi="Times New Roman" w:cs="Times New Roman"/>
          <w:sz w:val="28"/>
          <w:szCs w:val="28"/>
        </w:rPr>
        <w:t xml:space="preserve"> </w:t>
      </w:r>
      <w:r w:rsidRPr="003238C0">
        <w:rPr>
          <w:rFonts w:ascii="Times New Roman" w:hAnsi="Times New Roman" w:cs="Times New Roman"/>
          <w:sz w:val="28"/>
          <w:szCs w:val="28"/>
        </w:rPr>
        <w:t>Забезпечити проведення моніторингу у сфері питного водопостачання та водовідведення.</w:t>
      </w:r>
    </w:p>
    <w:p w14:paraId="4ACD9A9A" w14:textId="77777777" w:rsidR="0030391F" w:rsidRPr="003238C0" w:rsidRDefault="0030391F" w:rsidP="006E5C0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374EEAB" w14:textId="77777777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>Заходи техніко-економічного спрямування :</w:t>
      </w:r>
    </w:p>
    <w:p w14:paraId="27F4E6AC" w14:textId="77777777" w:rsidR="00E84962" w:rsidRPr="003238C0" w:rsidRDefault="00953C67" w:rsidP="003039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Стабілізувати фінансово-економічний стан КП Андрушівської міської ради 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» шляхом запровадження економічно обґрунтованих тарифів на послуги з урахуванням витрат на здійснення капітальних вкладень.</w:t>
      </w:r>
    </w:p>
    <w:p w14:paraId="79421212" w14:textId="22890B76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lastRenderedPageBreak/>
        <w:t xml:space="preserve">Розробити схеми оптимізації роботи централізованих систем водопостачання населених пунктів, провести енергетичний аудит водогінних мереж, якими постачає воду КП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Андрушівської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0908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Комсервіс</w:t>
      </w:r>
      <w:proofErr w:type="spellEnd"/>
      <w:r w:rsidR="0009086B">
        <w:rPr>
          <w:rFonts w:ascii="Times New Roman" w:hAnsi="Times New Roman" w:cs="Times New Roman"/>
          <w:sz w:val="28"/>
          <w:szCs w:val="28"/>
        </w:rPr>
        <w:t>»</w:t>
      </w:r>
      <w:r w:rsidRPr="003238C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м.Андрушівка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238C0">
        <w:rPr>
          <w:rFonts w:ascii="Times New Roman" w:hAnsi="Times New Roman" w:cs="Times New Roman"/>
          <w:sz w:val="28"/>
          <w:szCs w:val="28"/>
        </w:rPr>
        <w:t>с.Гальчин</w:t>
      </w:r>
      <w:proofErr w:type="spellEnd"/>
      <w:r w:rsidRPr="003238C0">
        <w:rPr>
          <w:rFonts w:ascii="Times New Roman" w:hAnsi="Times New Roman" w:cs="Times New Roman"/>
          <w:sz w:val="28"/>
          <w:szCs w:val="28"/>
        </w:rPr>
        <w:t>) та обладнання станцій 1 та 2 підйому, з метою підвищення ефективності витрачання бюджетних коштів в ході добудови та реконструкції водогінних мереж.</w:t>
      </w:r>
    </w:p>
    <w:p w14:paraId="76BC4894" w14:textId="77777777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Здійснити заходи щодо економії питної води та зниження енергоємності її виробництва.</w:t>
      </w:r>
    </w:p>
    <w:p w14:paraId="30394257" w14:textId="77777777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Створити сприятливі умови для залучення інвестиційних ресурсів з метою технічного переоснащення систем питного водопостачання та водовідведення.</w:t>
      </w:r>
    </w:p>
    <w:p w14:paraId="1FB2BEBA" w14:textId="77777777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Відновити та реконструювати в сільських населених пунктах системи питного водопостачання, що знаходяться у непрацюючому стані або постачають воду, яка не відповідає нормативам якості питної води.</w:t>
      </w:r>
    </w:p>
    <w:p w14:paraId="1C09FE36" w14:textId="77777777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Реконструкція систем каналізаційних мереж і споруд по місту.</w:t>
      </w:r>
    </w:p>
    <w:p w14:paraId="466A2BB1" w14:textId="77777777" w:rsidR="00E84962" w:rsidRPr="003238C0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Впровадження оборотних систем виробничого водопостачання, систем послідовного і повторного використання води.</w:t>
      </w:r>
    </w:p>
    <w:p w14:paraId="721B097A" w14:textId="0D034BCD" w:rsidR="00E84962" w:rsidRDefault="00953C67" w:rsidP="006E5C0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Прийняття в комунальну власність безхазяйних артезіанських свердловин та їх консервація (тампонаж).</w:t>
      </w:r>
    </w:p>
    <w:p w14:paraId="527FC1F3" w14:textId="77777777" w:rsidR="0030391F" w:rsidRPr="003238C0" w:rsidRDefault="0030391F" w:rsidP="0030391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D35890D" w14:textId="77777777" w:rsidR="00E84962" w:rsidRPr="003238C0" w:rsidRDefault="00953C67" w:rsidP="0030391F">
      <w:pPr>
        <w:spacing w:after="0" w:line="240" w:lineRule="auto"/>
        <w:jc w:val="center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 xml:space="preserve">Заходи </w:t>
      </w:r>
      <w:proofErr w:type="spellStart"/>
      <w:r w:rsidRPr="003238C0">
        <w:rPr>
          <w:rFonts w:ascii="Times New Roman" w:hAnsi="Times New Roman" w:cs="Times New Roman"/>
          <w:b/>
          <w:sz w:val="28"/>
          <w:szCs w:val="28"/>
        </w:rPr>
        <w:t>просвітницько</w:t>
      </w:r>
      <w:proofErr w:type="spellEnd"/>
      <w:r w:rsidRPr="003238C0">
        <w:rPr>
          <w:rFonts w:ascii="Times New Roman" w:hAnsi="Times New Roman" w:cs="Times New Roman"/>
          <w:b/>
          <w:sz w:val="28"/>
          <w:szCs w:val="28"/>
        </w:rPr>
        <w:t>-інформаційного спрямування :</w:t>
      </w:r>
    </w:p>
    <w:p w14:paraId="69D79348" w14:textId="77777777" w:rsidR="00E84962" w:rsidRPr="003238C0" w:rsidRDefault="00953C67" w:rsidP="003039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Впровадження в навчальних закладах в межах діючих навчальних програм, позакласної роботи ознайомлення учнів про важливість ощадливого споживання води, належного поводження з побутовими відходами,  виховання дбайливого ставлення до довкілля тощо.</w:t>
      </w:r>
    </w:p>
    <w:p w14:paraId="6950AA6B" w14:textId="77777777" w:rsidR="00E84962" w:rsidRPr="003238C0" w:rsidRDefault="00953C67" w:rsidP="006E5C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Проведення через засоби масової інформації роз’яснювальної роботи серед населення : </w:t>
      </w:r>
    </w:p>
    <w:p w14:paraId="56A6C813" w14:textId="0219553A" w:rsidR="00E84962" w:rsidRPr="003238C0" w:rsidRDefault="00884FF8" w:rsidP="000908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C67" w:rsidRPr="003238C0">
        <w:rPr>
          <w:rFonts w:ascii="Times New Roman" w:hAnsi="Times New Roman" w:cs="Times New Roman"/>
          <w:sz w:val="28"/>
          <w:szCs w:val="28"/>
        </w:rPr>
        <w:t xml:space="preserve">про необхідність поглиблення, розчистки, влаштування нових шахтних колодязів; </w:t>
      </w:r>
    </w:p>
    <w:p w14:paraId="57566EBF" w14:textId="6458328A" w:rsidR="00E84962" w:rsidRPr="003238C0" w:rsidRDefault="00884FF8" w:rsidP="0009086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C67" w:rsidRPr="003238C0">
        <w:rPr>
          <w:rFonts w:ascii="Times New Roman" w:hAnsi="Times New Roman" w:cs="Times New Roman"/>
          <w:sz w:val="28"/>
          <w:szCs w:val="28"/>
        </w:rPr>
        <w:t>про основні правила влаштування нових шахтних колодязів, опосередковану вартість робіт в регіоні, основних виконавців таких робіт;</w:t>
      </w:r>
    </w:p>
    <w:p w14:paraId="29E37A2B" w14:textId="7ECA4A37" w:rsidR="00E84962" w:rsidRDefault="00884FF8" w:rsidP="000908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3C67" w:rsidRPr="003238C0">
        <w:rPr>
          <w:rFonts w:ascii="Times New Roman" w:hAnsi="Times New Roman" w:cs="Times New Roman"/>
          <w:sz w:val="28"/>
          <w:szCs w:val="28"/>
        </w:rPr>
        <w:t>про згубний вплив на стан джерел поверхневого водопостачання утилізації побутових відходів в непризначених для цього місцях, перш за все на берегах водойм, публікація заміток та фоторепортажів з негативними та позитивними прикладами.</w:t>
      </w:r>
    </w:p>
    <w:p w14:paraId="318E2B93" w14:textId="77777777" w:rsidR="0030391F" w:rsidRPr="003238C0" w:rsidRDefault="0030391F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16D282DD" w14:textId="77777777" w:rsidR="00E84962" w:rsidRPr="003238C0" w:rsidRDefault="00953C67" w:rsidP="006E5C0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C0">
        <w:rPr>
          <w:rFonts w:ascii="Times New Roman" w:hAnsi="Times New Roman" w:cs="Times New Roman"/>
          <w:b/>
          <w:sz w:val="28"/>
          <w:szCs w:val="28"/>
        </w:rPr>
        <w:t xml:space="preserve">Очікувані результати реалізації заходів Програми </w:t>
      </w:r>
    </w:p>
    <w:p w14:paraId="24F31774" w14:textId="77777777" w:rsidR="00E84962" w:rsidRPr="003238C0" w:rsidRDefault="00953C67" w:rsidP="006E5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 xml:space="preserve">Очікується, що в результаті реалізації Програми буде: </w:t>
      </w:r>
    </w:p>
    <w:p w14:paraId="10BD46ED" w14:textId="77777777" w:rsidR="00E84962" w:rsidRPr="003238C0" w:rsidRDefault="00953C67" w:rsidP="006E5C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Під’єднано максимальну можливу кількість промислових і соціально-культурних об’єктів до систем очищення стічних вод.</w:t>
      </w:r>
    </w:p>
    <w:p w14:paraId="4856AE0A" w14:textId="77777777" w:rsidR="00E84962" w:rsidRPr="003238C0" w:rsidRDefault="00953C67" w:rsidP="006E5C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8C0">
        <w:rPr>
          <w:rFonts w:ascii="Times New Roman" w:hAnsi="Times New Roman" w:cs="Times New Roman"/>
          <w:sz w:val="28"/>
          <w:szCs w:val="28"/>
        </w:rPr>
        <w:t>Убезпечено від забруднення водоносних горизонтів в місцях розташування артезіанських свердловин.</w:t>
      </w:r>
    </w:p>
    <w:p w14:paraId="405F9B76" w14:textId="77777777" w:rsidR="00E84962" w:rsidRPr="003238C0" w:rsidRDefault="00953C67" w:rsidP="006E5C00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238C0">
        <w:rPr>
          <w:rFonts w:ascii="Times New Roman" w:hAnsi="Times New Roman" w:cs="Times New Roman"/>
          <w:sz w:val="28"/>
          <w:szCs w:val="28"/>
        </w:rPr>
        <w:t>Поліпшено стан забезпечення населення громади питною водою, захист життя і здоров’я населення від негативного впливу, зумовленого забрудненням навколишнього природного середовища.</w:t>
      </w:r>
    </w:p>
    <w:p w14:paraId="4211B662" w14:textId="77777777" w:rsidR="00E84962" w:rsidRPr="003238C0" w:rsidRDefault="00E849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92CA6" w14:textId="77777777" w:rsidR="00BB3A1A" w:rsidRDefault="006E5C00" w:rsidP="00BB3A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_DdeLink__1410_2289220104"/>
      <w:bookmarkEnd w:id="1"/>
      <w:r w:rsidRPr="00825A41">
        <w:rPr>
          <w:rFonts w:ascii="Times New Roman" w:hAnsi="Times New Roman" w:cs="Times New Roman"/>
          <w:bCs/>
          <w:sz w:val="28"/>
          <w:szCs w:val="28"/>
        </w:rPr>
        <w:t xml:space="preserve">Начальник відділу </w:t>
      </w:r>
      <w:r w:rsidR="00BB3A1A">
        <w:rPr>
          <w:rFonts w:ascii="Times New Roman" w:eastAsia="Times New Roman" w:hAnsi="Times New Roman" w:cs="Times New Roman"/>
          <w:sz w:val="28"/>
          <w:szCs w:val="28"/>
        </w:rPr>
        <w:t>земельних</w:t>
      </w:r>
    </w:p>
    <w:p w14:paraId="3C8EB168" w14:textId="459F48AC" w:rsidR="00E84962" w:rsidRPr="00825A41" w:rsidRDefault="00BB3A1A" w:rsidP="00BB3A1A">
      <w:pPr>
        <w:spacing w:after="0" w:line="240" w:lineRule="auto"/>
        <w:rPr>
          <w:rFonts w:ascii="Times New Roman" w:hAnsi="Times New Roman"/>
          <w:bCs/>
        </w:rPr>
        <w:sectPr w:rsidR="00E84962" w:rsidRPr="00825A41" w:rsidSect="00825A41">
          <w:pgSz w:w="11906" w:h="16838"/>
          <w:pgMar w:top="567" w:right="567" w:bottom="510" w:left="1714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відносин та екології</w:t>
      </w:r>
      <w:r w:rsidR="00D610EF" w:rsidRPr="00825A41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r w:rsidR="00953C67" w:rsidRPr="00825A41">
        <w:rPr>
          <w:rFonts w:ascii="Times New Roman" w:hAnsi="Times New Roman" w:cs="Times New Roman"/>
          <w:bCs/>
          <w:sz w:val="28"/>
          <w:szCs w:val="28"/>
        </w:rPr>
        <w:tab/>
      </w:r>
      <w:r w:rsidR="0030391F" w:rsidRPr="00825A4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30391F" w:rsidRPr="00825A4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610EF" w:rsidRPr="00825A41"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Cs/>
          <w:sz w:val="28"/>
          <w:szCs w:val="28"/>
        </w:rPr>
        <w:t>талія БАЙБУЛА</w:t>
      </w:r>
    </w:p>
    <w:p w14:paraId="4938BA86" w14:textId="660149E3" w:rsidR="00E84962" w:rsidRPr="003238C0" w:rsidRDefault="00953C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8C0">
        <w:rPr>
          <w:rFonts w:ascii="Times New Roman" w:hAnsi="Times New Roman" w:cs="Times New Roman"/>
          <w:b/>
          <w:sz w:val="24"/>
          <w:szCs w:val="24"/>
        </w:rPr>
        <w:lastRenderedPageBreak/>
        <w:t>Напрямки діяльності та заходи Програми</w:t>
      </w:r>
      <w:r w:rsidR="0009086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238C0">
        <w:rPr>
          <w:rFonts w:ascii="Times New Roman" w:hAnsi="Times New Roman" w:cs="Times New Roman"/>
          <w:b/>
          <w:sz w:val="24"/>
          <w:szCs w:val="24"/>
        </w:rPr>
        <w:t xml:space="preserve">Питна вода </w:t>
      </w:r>
      <w:proofErr w:type="spellStart"/>
      <w:r w:rsidRPr="003238C0">
        <w:rPr>
          <w:rFonts w:ascii="Times New Roman" w:hAnsi="Times New Roman" w:cs="Times New Roman"/>
          <w:b/>
          <w:sz w:val="24"/>
          <w:szCs w:val="24"/>
        </w:rPr>
        <w:t>Андрушівщини</w:t>
      </w:r>
      <w:proofErr w:type="spellEnd"/>
      <w:r w:rsidR="0009086B">
        <w:rPr>
          <w:rFonts w:ascii="Times New Roman" w:hAnsi="Times New Roman" w:cs="Times New Roman"/>
          <w:b/>
          <w:sz w:val="24"/>
          <w:szCs w:val="24"/>
        </w:rPr>
        <w:t>»</w:t>
      </w:r>
      <w:r w:rsidRPr="003238C0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D27623" w:rsidRPr="003238C0">
        <w:rPr>
          <w:rFonts w:ascii="Times New Roman" w:hAnsi="Times New Roman" w:cs="Times New Roman"/>
          <w:b/>
          <w:sz w:val="24"/>
          <w:szCs w:val="24"/>
        </w:rPr>
        <w:t>4</w:t>
      </w:r>
      <w:r w:rsidRPr="003238C0">
        <w:rPr>
          <w:rFonts w:ascii="Times New Roman" w:hAnsi="Times New Roman" w:cs="Times New Roman"/>
          <w:b/>
          <w:sz w:val="24"/>
          <w:szCs w:val="24"/>
        </w:rPr>
        <w:t>-202</w:t>
      </w:r>
      <w:r w:rsidR="00D610EF">
        <w:rPr>
          <w:rFonts w:ascii="Times New Roman" w:hAnsi="Times New Roman" w:cs="Times New Roman"/>
          <w:b/>
          <w:sz w:val="24"/>
          <w:szCs w:val="24"/>
        </w:rPr>
        <w:t>6</w:t>
      </w:r>
      <w:r w:rsidRPr="003238C0">
        <w:rPr>
          <w:rFonts w:ascii="Times New Roman" w:hAnsi="Times New Roman" w:cs="Times New Roman"/>
          <w:b/>
          <w:sz w:val="24"/>
          <w:szCs w:val="24"/>
        </w:rPr>
        <w:t xml:space="preserve"> роки</w:t>
      </w:r>
    </w:p>
    <w:tbl>
      <w:tblPr>
        <w:tblStyle w:val="ac"/>
        <w:tblW w:w="14600" w:type="dxa"/>
        <w:tblInd w:w="372" w:type="dxa"/>
        <w:tblCellMar>
          <w:left w:w="88" w:type="dxa"/>
        </w:tblCellMar>
        <w:tblLook w:val="01E0" w:firstRow="1" w:lastRow="1" w:firstColumn="1" w:lastColumn="1" w:noHBand="0" w:noVBand="0"/>
      </w:tblPr>
      <w:tblGrid>
        <w:gridCol w:w="668"/>
        <w:gridCol w:w="3443"/>
        <w:gridCol w:w="1559"/>
        <w:gridCol w:w="1818"/>
        <w:gridCol w:w="3040"/>
        <w:gridCol w:w="1708"/>
        <w:gridCol w:w="2364"/>
      </w:tblGrid>
      <w:tr w:rsidR="00E84962" w:rsidRPr="003238C0" w14:paraId="210A2916" w14:textId="77777777" w:rsidTr="0009086B">
        <w:trPr>
          <w:trHeight w:val="1537"/>
        </w:trPr>
        <w:tc>
          <w:tcPr>
            <w:tcW w:w="668" w:type="dxa"/>
            <w:shd w:val="clear" w:color="auto" w:fill="auto"/>
            <w:tcMar>
              <w:left w:w="88" w:type="dxa"/>
            </w:tcMar>
          </w:tcPr>
          <w:p w14:paraId="2058750F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№</w:t>
            </w:r>
          </w:p>
          <w:p w14:paraId="7C8F73C6" w14:textId="77777777" w:rsidR="00E84962" w:rsidRPr="003238C0" w:rsidRDefault="00953C6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443" w:type="dxa"/>
            <w:shd w:val="clear" w:color="auto" w:fill="auto"/>
            <w:tcMar>
              <w:left w:w="88" w:type="dxa"/>
            </w:tcMar>
          </w:tcPr>
          <w:p w14:paraId="26595D08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Перелік заходів  програми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14:paraId="4D52B72D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Термін виконання заходу</w:t>
            </w:r>
          </w:p>
        </w:tc>
        <w:tc>
          <w:tcPr>
            <w:tcW w:w="1818" w:type="dxa"/>
            <w:shd w:val="clear" w:color="auto" w:fill="auto"/>
            <w:tcMar>
              <w:left w:w="88" w:type="dxa"/>
            </w:tcMar>
          </w:tcPr>
          <w:p w14:paraId="794A06D2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Виконавці</w:t>
            </w:r>
          </w:p>
        </w:tc>
        <w:tc>
          <w:tcPr>
            <w:tcW w:w="3040" w:type="dxa"/>
            <w:shd w:val="clear" w:color="auto" w:fill="auto"/>
            <w:tcMar>
              <w:left w:w="88" w:type="dxa"/>
            </w:tcMar>
          </w:tcPr>
          <w:p w14:paraId="27F49F73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Джерела фінансування (для місцевих бюджетів в межах коштів передбачених в кошторисах видатків)</w:t>
            </w:r>
          </w:p>
        </w:tc>
        <w:tc>
          <w:tcPr>
            <w:tcW w:w="1708" w:type="dxa"/>
            <w:shd w:val="clear" w:color="auto" w:fill="auto"/>
            <w:tcMar>
              <w:left w:w="88" w:type="dxa"/>
            </w:tcMar>
          </w:tcPr>
          <w:p w14:paraId="6E95CDAD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Орієнтовні обсяги фінансування</w:t>
            </w:r>
          </w:p>
          <w:p w14:paraId="040049F5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тис. грн.</w:t>
            </w:r>
          </w:p>
        </w:tc>
        <w:tc>
          <w:tcPr>
            <w:tcW w:w="2364" w:type="dxa"/>
            <w:shd w:val="clear" w:color="auto" w:fill="auto"/>
            <w:tcMar>
              <w:left w:w="88" w:type="dxa"/>
            </w:tcMar>
          </w:tcPr>
          <w:p w14:paraId="1A21E2E5" w14:textId="77777777" w:rsidR="00E84962" w:rsidRPr="003238C0" w:rsidRDefault="00953C6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9F1A57" w:rsidRPr="003238C0" w14:paraId="4D0E0608" w14:textId="77777777" w:rsidTr="0009086B">
        <w:trPr>
          <w:trHeight w:val="778"/>
        </w:trPr>
        <w:tc>
          <w:tcPr>
            <w:tcW w:w="668" w:type="dxa"/>
            <w:shd w:val="clear" w:color="auto" w:fill="auto"/>
            <w:tcMar>
              <w:left w:w="88" w:type="dxa"/>
            </w:tcMar>
          </w:tcPr>
          <w:p w14:paraId="1DD6E5D2" w14:textId="77777777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43" w:type="dxa"/>
            <w:shd w:val="clear" w:color="auto" w:fill="auto"/>
            <w:tcMar>
              <w:left w:w="88" w:type="dxa"/>
            </w:tcMar>
          </w:tcPr>
          <w:p w14:paraId="583B5EF0" w14:textId="77777777" w:rsidR="009F1A57" w:rsidRPr="003238C0" w:rsidRDefault="009F1A57" w:rsidP="009F1A5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Будівництво водопроводу та водопостачання с. </w:t>
            </w:r>
            <w:proofErr w:type="spellStart"/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Камені</w:t>
            </w:r>
            <w:proofErr w:type="spellEnd"/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14:paraId="78B5F91F" w14:textId="7B821DE3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рр.</w:t>
            </w:r>
          </w:p>
        </w:tc>
        <w:tc>
          <w:tcPr>
            <w:tcW w:w="1818" w:type="dxa"/>
            <w:shd w:val="clear" w:color="auto" w:fill="auto"/>
            <w:tcMar>
              <w:left w:w="88" w:type="dxa"/>
            </w:tcMar>
          </w:tcPr>
          <w:p w14:paraId="78231597" w14:textId="591478D8" w:rsidR="009F1A57" w:rsidRPr="009F1A57" w:rsidRDefault="009F1A57" w:rsidP="009F1A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КП Андрушівської міської ради „</w:t>
            </w:r>
            <w:proofErr w:type="spellStart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Комсервіс</w:t>
            </w:r>
            <w:proofErr w:type="spellEnd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040" w:type="dxa"/>
            <w:shd w:val="clear" w:color="auto" w:fill="auto"/>
            <w:tcMar>
              <w:left w:w="88" w:type="dxa"/>
            </w:tcMar>
          </w:tcPr>
          <w:p w14:paraId="75004175" w14:textId="77777777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Андрушівська міська рада</w:t>
            </w:r>
          </w:p>
        </w:tc>
        <w:tc>
          <w:tcPr>
            <w:tcW w:w="1708" w:type="dxa"/>
            <w:shd w:val="clear" w:color="auto" w:fill="auto"/>
            <w:tcMar>
              <w:left w:w="88" w:type="dxa"/>
            </w:tcMar>
          </w:tcPr>
          <w:p w14:paraId="25DC0C3C" w14:textId="2AE0A5A4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В межах фінансових можливостей</w:t>
            </w:r>
          </w:p>
        </w:tc>
        <w:tc>
          <w:tcPr>
            <w:tcW w:w="2364" w:type="dxa"/>
            <w:shd w:val="clear" w:color="auto" w:fill="auto"/>
            <w:tcMar>
              <w:left w:w="88" w:type="dxa"/>
            </w:tcMar>
          </w:tcPr>
          <w:p w14:paraId="05CE0E7A" w14:textId="02C29D34" w:rsidR="009F1A57" w:rsidRPr="003238C0" w:rsidRDefault="009F1A57" w:rsidP="009F1A57">
            <w:pPr>
              <w:spacing w:after="0" w:line="240" w:lineRule="auto"/>
              <w:rPr>
                <w:b/>
                <w:i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Поліпшення водопостачання жителів населен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</w:p>
        </w:tc>
      </w:tr>
      <w:tr w:rsidR="009F1A57" w:rsidRPr="003238C0" w14:paraId="33889E84" w14:textId="77777777" w:rsidTr="0009086B">
        <w:trPr>
          <w:trHeight w:val="778"/>
        </w:trPr>
        <w:tc>
          <w:tcPr>
            <w:tcW w:w="668" w:type="dxa"/>
            <w:shd w:val="clear" w:color="auto" w:fill="auto"/>
            <w:tcMar>
              <w:left w:w="88" w:type="dxa"/>
            </w:tcMar>
          </w:tcPr>
          <w:p w14:paraId="2E0A4516" w14:textId="77777777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443" w:type="dxa"/>
            <w:shd w:val="clear" w:color="auto" w:fill="auto"/>
            <w:tcMar>
              <w:left w:w="88" w:type="dxa"/>
            </w:tcMar>
          </w:tcPr>
          <w:p w14:paraId="5B093136" w14:textId="0E31649D" w:rsidR="009F1A57" w:rsidRPr="009F1A57" w:rsidRDefault="009F1A57" w:rsidP="009F1A57">
            <w:pPr>
              <w:spacing w:after="0" w:line="240" w:lineRule="auto"/>
              <w:rPr>
                <w:color w:val="auto"/>
                <w:sz w:val="24"/>
                <w:szCs w:val="24"/>
                <w:lang w:eastAsia="uk-UA"/>
              </w:rPr>
            </w:pPr>
            <w:r w:rsidRPr="009F1A5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uk-UA"/>
              </w:rPr>
              <w:t xml:space="preserve">Продовження розбудови водопровідних мереж та споруд в с. Нехворощ </w:t>
            </w:r>
          </w:p>
          <w:p w14:paraId="0AB1C4C1" w14:textId="77777777" w:rsidR="009F1A57" w:rsidRPr="009F1A57" w:rsidRDefault="009F1A57" w:rsidP="009F1A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14:paraId="60D5D550" w14:textId="208A34B3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рр.</w:t>
            </w:r>
          </w:p>
        </w:tc>
        <w:tc>
          <w:tcPr>
            <w:tcW w:w="1818" w:type="dxa"/>
            <w:shd w:val="clear" w:color="auto" w:fill="auto"/>
            <w:tcMar>
              <w:left w:w="88" w:type="dxa"/>
            </w:tcMar>
          </w:tcPr>
          <w:p w14:paraId="0665368F" w14:textId="016CEA46" w:rsidR="009F1A57" w:rsidRPr="009F1A57" w:rsidRDefault="009F1A57" w:rsidP="009F1A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КП Андрушівської міської ради „</w:t>
            </w:r>
            <w:proofErr w:type="spellStart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Комсервіс</w:t>
            </w:r>
            <w:proofErr w:type="spellEnd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040" w:type="dxa"/>
            <w:shd w:val="clear" w:color="auto" w:fill="auto"/>
            <w:tcMar>
              <w:left w:w="88" w:type="dxa"/>
            </w:tcMar>
          </w:tcPr>
          <w:p w14:paraId="73EAACEA" w14:textId="77777777" w:rsidR="009F1A57" w:rsidRPr="003238C0" w:rsidRDefault="009F1A57" w:rsidP="009F1A5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Андрушівська міська рада</w:t>
            </w:r>
          </w:p>
        </w:tc>
        <w:tc>
          <w:tcPr>
            <w:tcW w:w="1708" w:type="dxa"/>
            <w:shd w:val="clear" w:color="auto" w:fill="auto"/>
            <w:tcMar>
              <w:left w:w="88" w:type="dxa"/>
            </w:tcMar>
          </w:tcPr>
          <w:p w14:paraId="0CF88A37" w14:textId="252A36A5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В межах фінансових можливостей</w:t>
            </w:r>
          </w:p>
        </w:tc>
        <w:tc>
          <w:tcPr>
            <w:tcW w:w="2364" w:type="dxa"/>
            <w:shd w:val="clear" w:color="auto" w:fill="auto"/>
            <w:tcMar>
              <w:left w:w="88" w:type="dxa"/>
            </w:tcMar>
          </w:tcPr>
          <w:p w14:paraId="35DB278A" w14:textId="7D8ABABF" w:rsidR="009F1A57" w:rsidRPr="003238C0" w:rsidRDefault="009F1A57" w:rsidP="009F1A57">
            <w:pPr>
              <w:spacing w:after="0" w:line="240" w:lineRule="auto"/>
              <w:rPr>
                <w:b/>
                <w:i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Поліпшення водопостачання жителів населен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</w:p>
        </w:tc>
      </w:tr>
      <w:tr w:rsidR="009F1A57" w:rsidRPr="003238C0" w14:paraId="21326258" w14:textId="77777777" w:rsidTr="0009086B">
        <w:trPr>
          <w:trHeight w:val="1033"/>
        </w:trPr>
        <w:tc>
          <w:tcPr>
            <w:tcW w:w="668" w:type="dxa"/>
            <w:shd w:val="clear" w:color="auto" w:fill="auto"/>
            <w:tcMar>
              <w:left w:w="88" w:type="dxa"/>
            </w:tcMar>
          </w:tcPr>
          <w:p w14:paraId="1B360F70" w14:textId="77777777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443" w:type="dxa"/>
            <w:shd w:val="clear" w:color="auto" w:fill="auto"/>
            <w:tcMar>
              <w:left w:w="88" w:type="dxa"/>
            </w:tcMar>
          </w:tcPr>
          <w:p w14:paraId="4E84BB1C" w14:textId="5A31AB3F" w:rsidR="009F1A57" w:rsidRPr="003238C0" w:rsidRDefault="009F1A57" w:rsidP="009F1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Будівництво вуличної водогінної мережі в м. Андрушівка по вул. Берегова, Соснова (Загребля)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14:paraId="550AEF3F" w14:textId="3932326C" w:rsidR="009F1A57" w:rsidRPr="003238C0" w:rsidRDefault="009F1A57" w:rsidP="009F1A5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рр.</w:t>
            </w:r>
          </w:p>
        </w:tc>
        <w:tc>
          <w:tcPr>
            <w:tcW w:w="1818" w:type="dxa"/>
            <w:shd w:val="clear" w:color="auto" w:fill="auto"/>
            <w:tcMar>
              <w:left w:w="88" w:type="dxa"/>
            </w:tcMar>
          </w:tcPr>
          <w:p w14:paraId="1F892811" w14:textId="4A643B86" w:rsidR="009F1A57" w:rsidRPr="009F1A57" w:rsidRDefault="009F1A57" w:rsidP="009F1A5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КП Андрушівської міської ради „</w:t>
            </w:r>
            <w:proofErr w:type="spellStart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Комсервіс</w:t>
            </w:r>
            <w:proofErr w:type="spellEnd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040" w:type="dxa"/>
            <w:shd w:val="clear" w:color="auto" w:fill="auto"/>
            <w:tcMar>
              <w:left w:w="88" w:type="dxa"/>
            </w:tcMar>
          </w:tcPr>
          <w:p w14:paraId="6BD2E865" w14:textId="77777777" w:rsidR="009F1A57" w:rsidRPr="003238C0" w:rsidRDefault="009F1A57" w:rsidP="009F1A5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Андрушівська міська рада</w:t>
            </w:r>
          </w:p>
        </w:tc>
        <w:tc>
          <w:tcPr>
            <w:tcW w:w="1708" w:type="dxa"/>
            <w:shd w:val="clear" w:color="auto" w:fill="auto"/>
            <w:tcMar>
              <w:left w:w="88" w:type="dxa"/>
            </w:tcMar>
          </w:tcPr>
          <w:p w14:paraId="152A4AD4" w14:textId="27E5D98B" w:rsidR="009F1A57" w:rsidRPr="003238C0" w:rsidRDefault="009F1A57" w:rsidP="009F1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В межах фінансових можливостей</w:t>
            </w:r>
          </w:p>
        </w:tc>
        <w:tc>
          <w:tcPr>
            <w:tcW w:w="2364" w:type="dxa"/>
            <w:shd w:val="clear" w:color="auto" w:fill="auto"/>
            <w:tcMar>
              <w:left w:w="88" w:type="dxa"/>
            </w:tcMar>
          </w:tcPr>
          <w:p w14:paraId="12855C4B" w14:textId="75730FCA" w:rsidR="009F1A57" w:rsidRPr="003238C0" w:rsidRDefault="009F1A57" w:rsidP="009F1A57">
            <w:pPr>
              <w:spacing w:after="0" w:line="240" w:lineRule="auto"/>
              <w:rPr>
                <w:b/>
                <w:i/>
                <w:sz w:val="24"/>
                <w:szCs w:val="24"/>
                <w:lang w:eastAsia="uk-UA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Поліпшення водопостачання жителів населен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ого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</w:p>
        </w:tc>
      </w:tr>
      <w:tr w:rsidR="009F1A57" w:rsidRPr="003238C0" w14:paraId="0D5380E0" w14:textId="77777777" w:rsidTr="0009086B">
        <w:trPr>
          <w:trHeight w:val="1922"/>
        </w:trPr>
        <w:tc>
          <w:tcPr>
            <w:tcW w:w="66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3DE3A8A" w14:textId="4A0608AD" w:rsidR="009F1A57" w:rsidRPr="003238C0" w:rsidRDefault="009F1A57" w:rsidP="009F1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3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F786B10" w14:textId="40AECE55" w:rsidR="009F1A57" w:rsidRPr="003238C0" w:rsidRDefault="009F1A57" w:rsidP="009F1A57">
            <w:pPr>
              <w:spacing w:after="0" w:line="240" w:lineRule="auto"/>
              <w:rPr>
                <w:rFonts w:cs="Times New Roman"/>
                <w:b/>
                <w:bCs/>
                <w:sz w:val="28"/>
                <w:szCs w:val="28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Проведення ремонтних робіт на водопровідних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колекторних мережах, очисних споруд</w:t>
            </w:r>
            <w:r w:rsidRPr="003238C0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9B04816" w14:textId="07178AAB" w:rsidR="009F1A57" w:rsidRPr="003238C0" w:rsidRDefault="009F1A57" w:rsidP="009F1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2024-202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Pr="003238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рр.</w:t>
            </w:r>
          </w:p>
        </w:tc>
        <w:tc>
          <w:tcPr>
            <w:tcW w:w="18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ACA56D4" w14:textId="024C5116" w:rsidR="009F1A57" w:rsidRPr="009F1A57" w:rsidRDefault="009F1A57" w:rsidP="0009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КП Андрушівської міської ради „</w:t>
            </w:r>
            <w:proofErr w:type="spellStart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Комсервіс</w:t>
            </w:r>
            <w:proofErr w:type="spellEnd"/>
            <w:r w:rsidRPr="009F1A5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3040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F71A689" w14:textId="77777777" w:rsidR="009F1A57" w:rsidRPr="003238C0" w:rsidRDefault="009F1A57" w:rsidP="009F1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Андрушівська міська рада</w:t>
            </w:r>
          </w:p>
        </w:tc>
        <w:tc>
          <w:tcPr>
            <w:tcW w:w="170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60E8CFF" w14:textId="77777777" w:rsidR="009F1A57" w:rsidRPr="003238C0" w:rsidRDefault="009F1A57" w:rsidP="009F1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В межах фінансових можливостей</w:t>
            </w:r>
          </w:p>
        </w:tc>
        <w:tc>
          <w:tcPr>
            <w:tcW w:w="2364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743C118" w14:textId="30EEC6FA" w:rsidR="009F1A57" w:rsidRPr="003238C0" w:rsidRDefault="009F1A57" w:rsidP="009F1A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8C0">
              <w:rPr>
                <w:rFonts w:ascii="Times New Roman" w:hAnsi="Times New Roman"/>
                <w:sz w:val="24"/>
                <w:szCs w:val="24"/>
              </w:rPr>
              <w:t>Покращення якості питної води та технічного забезпечення водогінних мереж</w:t>
            </w:r>
            <w:r>
              <w:rPr>
                <w:rFonts w:ascii="Times New Roman" w:hAnsi="Times New Roman"/>
                <w:sz w:val="24"/>
                <w:szCs w:val="24"/>
              </w:rPr>
              <w:t>. Покращення роботи очисних споруд та колекторної системи</w:t>
            </w:r>
            <w:r w:rsidRPr="003238C0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</w:tr>
    </w:tbl>
    <w:p w14:paraId="5783CBF8" w14:textId="77777777" w:rsidR="00E84962" w:rsidRPr="003238C0" w:rsidRDefault="00E84962"/>
    <w:sectPr w:rsidR="00E84962" w:rsidRPr="003238C0">
      <w:pgSz w:w="16838" w:h="11906" w:orient="landscape"/>
      <w:pgMar w:top="1417" w:right="850" w:bottom="850" w:left="85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27DBC"/>
    <w:multiLevelType w:val="multilevel"/>
    <w:tmpl w:val="B0F669F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7211FF"/>
    <w:multiLevelType w:val="multilevel"/>
    <w:tmpl w:val="23F49B7A"/>
    <w:lvl w:ilvl="0">
      <w:start w:val="1"/>
      <w:numFmt w:val="decimal"/>
      <w:lvlText w:val="%1."/>
      <w:lvlJc w:val="left"/>
      <w:pPr>
        <w:ind w:left="360" w:firstLine="0"/>
      </w:pPr>
      <w:rPr>
        <w:sz w:val="28"/>
        <w:szCs w:val="28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ind w:left="180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firstLine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firstLine="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firstLine="0"/>
      </w:pPr>
      <w:rPr>
        <w:rFonts w:ascii="Wingdings" w:hAnsi="Wingdings" w:cs="Wingdings" w:hint="default"/>
      </w:rPr>
    </w:lvl>
  </w:abstractNum>
  <w:abstractNum w:abstractNumId="2" w15:restartNumberingAfterBreak="0">
    <w:nsid w:val="42D77532"/>
    <w:multiLevelType w:val="multilevel"/>
    <w:tmpl w:val="AC280EE0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80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righ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right"/>
      <w:pPr>
        <w:ind w:left="6120" w:firstLine="0"/>
      </w:pPr>
    </w:lvl>
  </w:abstractNum>
  <w:abstractNum w:abstractNumId="3" w15:restartNumberingAfterBreak="0">
    <w:nsid w:val="546E5932"/>
    <w:multiLevelType w:val="multilevel"/>
    <w:tmpl w:val="4ADC5D72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right"/>
      <w:pPr>
        <w:ind w:left="180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right"/>
      <w:pPr>
        <w:ind w:left="396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right"/>
      <w:pPr>
        <w:ind w:left="6120" w:firstLine="0"/>
      </w:pPr>
    </w:lvl>
  </w:abstractNum>
  <w:abstractNum w:abstractNumId="4" w15:restartNumberingAfterBreak="0">
    <w:nsid w:val="5DF96496"/>
    <w:multiLevelType w:val="multilevel"/>
    <w:tmpl w:val="4EA6C5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ED14CC0"/>
    <w:multiLevelType w:val="multilevel"/>
    <w:tmpl w:val="ED38377E"/>
    <w:lvl w:ilvl="0">
      <w:start w:val="1"/>
      <w:numFmt w:val="decimal"/>
      <w:lvlText w:val="%1."/>
      <w:lvlJc w:val="left"/>
      <w:pPr>
        <w:ind w:left="1134" w:firstLine="0"/>
      </w:pPr>
      <w:rPr>
        <w:sz w:val="28"/>
        <w:szCs w:val="28"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firstLine="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firstLine="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firstLine="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firstLine="0"/>
      </w:pPr>
      <w:rPr>
        <w:rFonts w:ascii="Wingdings" w:hAnsi="Wingdings" w:cs="Wingdings" w:hint="default"/>
      </w:rPr>
    </w:lvl>
  </w:abstractNum>
  <w:abstractNum w:abstractNumId="6" w15:restartNumberingAfterBreak="0">
    <w:nsid w:val="6FE91C6B"/>
    <w:multiLevelType w:val="multilevel"/>
    <w:tmpl w:val="E484442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F9D1001"/>
    <w:multiLevelType w:val="multilevel"/>
    <w:tmpl w:val="372E65A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4962"/>
    <w:rsid w:val="0009086B"/>
    <w:rsid w:val="000A57E1"/>
    <w:rsid w:val="00172B9D"/>
    <w:rsid w:val="001A09F2"/>
    <w:rsid w:val="001C6121"/>
    <w:rsid w:val="00230C5D"/>
    <w:rsid w:val="0030391F"/>
    <w:rsid w:val="00316E3B"/>
    <w:rsid w:val="003238C0"/>
    <w:rsid w:val="00593B76"/>
    <w:rsid w:val="005B023C"/>
    <w:rsid w:val="00645430"/>
    <w:rsid w:val="006E5C00"/>
    <w:rsid w:val="00825A41"/>
    <w:rsid w:val="00884FF8"/>
    <w:rsid w:val="00911F30"/>
    <w:rsid w:val="00922AF3"/>
    <w:rsid w:val="00953C67"/>
    <w:rsid w:val="009764A2"/>
    <w:rsid w:val="009F1A57"/>
    <w:rsid w:val="00A274DF"/>
    <w:rsid w:val="00A54D1A"/>
    <w:rsid w:val="00BB3A1A"/>
    <w:rsid w:val="00C16F75"/>
    <w:rsid w:val="00CE37FD"/>
    <w:rsid w:val="00D14CE9"/>
    <w:rsid w:val="00D27623"/>
    <w:rsid w:val="00D610EF"/>
    <w:rsid w:val="00E54F98"/>
    <w:rsid w:val="00E84962"/>
    <w:rsid w:val="00F1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A6BC"/>
  <w15:docId w15:val="{B12764B9-39E3-4EB7-8E9D-89ADA6F6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294"/>
    <w:pPr>
      <w:spacing w:after="160" w:line="252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qFormat/>
    <w:locked/>
    <w:rsid w:val="00FC75BF"/>
    <w:rPr>
      <w:shd w:val="clear" w:color="auto" w:fill="FFFFFF"/>
    </w:rPr>
  </w:style>
  <w:style w:type="character" w:customStyle="1" w:styleId="4">
    <w:name w:val="Основной текст (4)_"/>
    <w:link w:val="40"/>
    <w:qFormat/>
    <w:locked/>
    <w:rsid w:val="00FC75BF"/>
    <w:rPr>
      <w:sz w:val="30"/>
      <w:szCs w:val="30"/>
      <w:shd w:val="clear" w:color="auto" w:fill="FFFFFF"/>
    </w:rPr>
  </w:style>
  <w:style w:type="character" w:customStyle="1" w:styleId="2">
    <w:name w:val="Основной текст (2)_"/>
    <w:link w:val="20"/>
    <w:qFormat/>
    <w:locked/>
    <w:rsid w:val="00FC75BF"/>
    <w:rPr>
      <w:shd w:val="clear" w:color="auto" w:fill="FFFFFF"/>
    </w:rPr>
  </w:style>
  <w:style w:type="character" w:customStyle="1" w:styleId="ListLabel1">
    <w:name w:val="ListLabel 1"/>
    <w:qFormat/>
    <w:rsid w:val="002010F5"/>
    <w:rPr>
      <w:rFonts w:ascii="Times New Roman" w:eastAsia="Segoe UI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 w:bidi="uk-UA"/>
    </w:rPr>
  </w:style>
  <w:style w:type="character" w:customStyle="1" w:styleId="a3">
    <w:name w:val="Текст выноски Знак"/>
    <w:basedOn w:val="a0"/>
    <w:uiPriority w:val="99"/>
    <w:semiHidden/>
    <w:qFormat/>
    <w:rsid w:val="00C0790E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ascii="Times New Roman" w:hAnsi="Times New Roman" w:cs="Courier New"/>
      <w:sz w:val="28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Times New Roman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rFonts w:ascii="Times New Roman" w:hAnsi="Times New Roman" w:cs="Wingdings"/>
      <w:sz w:val="28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ascii="Times New Roman" w:hAnsi="Times New Roman" w:cs="Wingdings"/>
      <w:sz w:val="28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ascii="Times New Roman" w:hAnsi="Times New Roman" w:cs="Wingdings"/>
      <w:sz w:val="28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Courier New"/>
      <w:sz w:val="28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ascii="Times New Roman" w:hAnsi="Times New Roman" w:cs="Wingdings"/>
      <w:sz w:val="28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ascii="Times New Roman" w:hAnsi="Times New Roman" w:cs="Wingdings"/>
      <w:sz w:val="28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ascii="Times New Roman" w:hAnsi="Times New Roman" w:cs="Wingdings"/>
      <w:sz w:val="28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ascii="Times New Roman" w:hAnsi="Times New Roman" w:cs="Courier New"/>
      <w:sz w:val="28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ascii="Times New Roman" w:hAnsi="Times New Roman" w:cs="Wingdings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ascii="Times New Roman" w:hAnsi="Times New Roman" w:cs="Wingdings"/>
      <w:sz w:val="28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ascii="Times New Roman" w:hAnsi="Times New Roman" w:cs="Wingdings"/>
      <w:sz w:val="28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ascii="Times New Roman" w:hAnsi="Times New Roman" w:cs="Courier New"/>
      <w:sz w:val="28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ascii="Times New Roman" w:hAnsi="Times New Roman" w:cs="Wingdings"/>
      <w:sz w:val="28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ascii="Times New Roman" w:hAnsi="Times New Roman" w:cs="Wingdings"/>
      <w:sz w:val="28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ascii="Times New Roman" w:hAnsi="Times New Roman" w:cs="Wingdings"/>
      <w:sz w:val="28"/>
    </w:rPr>
  </w:style>
  <w:style w:type="character" w:customStyle="1" w:styleId="ListLabel174">
    <w:name w:val="ListLabel 174"/>
    <w:qFormat/>
    <w:rPr>
      <w:rFonts w:cs="Courier New"/>
    </w:rPr>
  </w:style>
  <w:style w:type="character" w:customStyle="1" w:styleId="ListLabel175">
    <w:name w:val="ListLabel 175"/>
    <w:qFormat/>
    <w:rPr>
      <w:rFonts w:cs="Wingdings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Courier New"/>
    </w:rPr>
  </w:style>
  <w:style w:type="character" w:customStyle="1" w:styleId="ListLabel178">
    <w:name w:val="ListLabel 178"/>
    <w:qFormat/>
    <w:rPr>
      <w:rFonts w:cs="Wingdings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Courier New"/>
    </w:rPr>
  </w:style>
  <w:style w:type="character" w:customStyle="1" w:styleId="ListLabel181">
    <w:name w:val="ListLabel 181"/>
    <w:qFormat/>
    <w:rPr>
      <w:rFonts w:cs="Wingdings"/>
    </w:rPr>
  </w:style>
  <w:style w:type="character" w:customStyle="1" w:styleId="ListLabel182">
    <w:name w:val="ListLabel 182"/>
    <w:qFormat/>
    <w:rPr>
      <w:rFonts w:ascii="Times New Roman" w:hAnsi="Times New Roman" w:cs="Courier New"/>
      <w:sz w:val="28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Times New Roman" w:eastAsia="Noto Sans CJK SC Regular" w:hAnsi="Times New Roman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ascii="Times New Roman" w:hAnsi="Times New Roman"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ascii="Times New Roman" w:hAnsi="Times New Roman" w:cs="FreeSans"/>
    </w:rPr>
  </w:style>
  <w:style w:type="paragraph" w:styleId="a8">
    <w:name w:val="List Paragraph"/>
    <w:basedOn w:val="a"/>
    <w:uiPriority w:val="34"/>
    <w:qFormat/>
    <w:rsid w:val="00AC6CC8"/>
    <w:pPr>
      <w:ind w:left="720"/>
      <w:contextualSpacing/>
    </w:pPr>
  </w:style>
  <w:style w:type="paragraph" w:customStyle="1" w:styleId="10">
    <w:name w:val="1 Знак Знак Знак Знак Знак Знак Знак Знак Знак Знак Знак Знак Знак Знак Знак Знак Знак Знак"/>
    <w:basedOn w:val="a"/>
    <w:qFormat/>
    <w:rsid w:val="00CF155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0">
    <w:name w:val="Основной текст (3)"/>
    <w:basedOn w:val="a"/>
    <w:link w:val="3"/>
    <w:qFormat/>
    <w:rsid w:val="00FC75BF"/>
    <w:pPr>
      <w:widowControl w:val="0"/>
      <w:shd w:val="clear" w:color="auto" w:fill="FFFFFF"/>
      <w:spacing w:after="0" w:line="329" w:lineRule="exact"/>
      <w:jc w:val="center"/>
    </w:pPr>
    <w:rPr>
      <w:b/>
      <w:bCs/>
    </w:rPr>
  </w:style>
  <w:style w:type="paragraph" w:customStyle="1" w:styleId="40">
    <w:name w:val="Основной текст (4)"/>
    <w:basedOn w:val="a"/>
    <w:link w:val="4"/>
    <w:qFormat/>
    <w:rsid w:val="00FC75BF"/>
    <w:pPr>
      <w:widowControl w:val="0"/>
      <w:shd w:val="clear" w:color="auto" w:fill="FFFFFF"/>
      <w:spacing w:after="360" w:line="329" w:lineRule="exact"/>
      <w:jc w:val="center"/>
    </w:pPr>
    <w:rPr>
      <w:sz w:val="30"/>
      <w:szCs w:val="30"/>
    </w:rPr>
  </w:style>
  <w:style w:type="paragraph" w:customStyle="1" w:styleId="20">
    <w:name w:val="Основной текст (2)"/>
    <w:basedOn w:val="a"/>
    <w:link w:val="2"/>
    <w:qFormat/>
    <w:rsid w:val="00FC75BF"/>
    <w:pPr>
      <w:widowControl w:val="0"/>
      <w:shd w:val="clear" w:color="auto" w:fill="FFFFFF"/>
      <w:spacing w:before="480" w:after="0" w:line="278" w:lineRule="exact"/>
      <w:jc w:val="right"/>
    </w:pPr>
  </w:style>
  <w:style w:type="paragraph" w:styleId="a9">
    <w:name w:val="Balloon Text"/>
    <w:basedOn w:val="a"/>
    <w:uiPriority w:val="99"/>
    <w:semiHidden/>
    <w:unhideWhenUsed/>
    <w:qFormat/>
    <w:rsid w:val="00C0790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Вміст таблиці"/>
    <w:basedOn w:val="a"/>
    <w:qFormat/>
    <w:pPr>
      <w:suppressLineNumbers/>
    </w:pPr>
  </w:style>
  <w:style w:type="paragraph" w:customStyle="1" w:styleId="ab">
    <w:name w:val="Заголовок таблиці"/>
    <w:basedOn w:val="aa"/>
    <w:qFormat/>
    <w:pPr>
      <w:jc w:val="center"/>
    </w:pPr>
    <w:rPr>
      <w:b/>
      <w:bCs/>
    </w:rPr>
  </w:style>
  <w:style w:type="table" w:styleId="ac">
    <w:name w:val="Table Grid"/>
    <w:basedOn w:val="a1"/>
    <w:rsid w:val="002E729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A6B4C-9ED7-45B5-8F64-BC837464D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1</Pages>
  <Words>12264</Words>
  <Characters>6991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Профспілка АМР</cp:lastModifiedBy>
  <cp:revision>110</cp:revision>
  <cp:lastPrinted>2023-11-20T09:06:00Z</cp:lastPrinted>
  <dcterms:created xsi:type="dcterms:W3CDTF">2021-01-20T06:33:00Z</dcterms:created>
  <dcterms:modified xsi:type="dcterms:W3CDTF">2023-11-21T08:30:00Z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